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BACB" w14:textId="77777777" w:rsidR="001D2397" w:rsidRDefault="001D2397">
      <w:pPr>
        <w:pStyle w:val="Title"/>
        <w:rPr>
          <w:kern w:val="0"/>
          <w14:ligatures w14:val="none"/>
        </w:rPr>
      </w:pPr>
      <w:r>
        <w:t>CR Equity AI: Revolutionizing Commercial Real Estate Lending Through Artificial Intelligence</w:t>
      </w:r>
    </w:p>
    <w:p w14:paraId="4400E5D2" w14:textId="77777777" w:rsidR="001D2397" w:rsidRDefault="001D2397">
      <w:pPr>
        <w:pStyle w:val="Subtitle"/>
      </w:pPr>
      <w:r>
        <w:t>A Structured Overview of the Platform, Its Features, and Impact</w:t>
      </w:r>
    </w:p>
    <w:p w14:paraId="717D8E97" w14:textId="77777777" w:rsidR="001D2397" w:rsidRDefault="001D2397">
      <w:pPr>
        <w:pStyle w:val="Heading2"/>
        <w:rPr>
          <w:rFonts w:eastAsia="Times New Roman"/>
        </w:rPr>
      </w:pPr>
      <w:r>
        <w:rPr>
          <w:rFonts w:eastAsia="Times New Roman"/>
        </w:rPr>
        <w:t>Abstract</w:t>
      </w:r>
    </w:p>
    <w:p w14:paraId="78D426DF" w14:textId="77777777" w:rsidR="001D2397" w:rsidRDefault="001D2397">
      <w:pPr>
        <w:rPr>
          <w:rFonts w:eastAsiaTheme="minorEastAsia"/>
        </w:rPr>
      </w:pPr>
      <w:r>
        <w:t>CR Equity AI is a cutting-edge, AI-driven credit infrastructure platform that is reshaping commercial real estate and business lending. By employing advanced machine learning for underwriting, automating workflows, and utilizing tokenized settlement mechanisms, CR Equity AI establishes new standards for speed, efficiency, and compliance within the fintech and real estate finance sectors. This paper examines the platform’s central functionalities, technological breakthroughs, and the effect it has on the industry, emphasizing its pivotal role in redefining institutional credit distribution.</w:t>
      </w:r>
    </w:p>
    <w:p w14:paraId="7DE42820" w14:textId="77777777" w:rsidR="001D2397" w:rsidRDefault="001D2397">
      <w:pPr>
        <w:pStyle w:val="Heading2"/>
        <w:rPr>
          <w:rFonts w:eastAsia="Times New Roman"/>
        </w:rPr>
      </w:pPr>
      <w:r>
        <w:rPr>
          <w:rFonts w:eastAsia="Times New Roman"/>
        </w:rPr>
        <w:t>Introduction</w:t>
      </w:r>
    </w:p>
    <w:p w14:paraId="34E46237" w14:textId="77777777" w:rsidR="001D2397" w:rsidRDefault="001D2397">
      <w:pPr>
        <w:rPr>
          <w:rFonts w:eastAsiaTheme="minorEastAsia"/>
        </w:rPr>
      </w:pPr>
      <w:r>
        <w:t>As the global economy progresses, commercial real estate lending is confronted with increasing expectations for speed, efficiency, and transparency. Conventional lending models often struggle with inefficiencies, protracted approval timelines, and substantial costs. CR Equity AI addresses these issues through the integration of artificial intelligence, blockchain technology, and tokenized credit infrastructure, modernizing processes such as underwriting, decision-making, and capital allocation.</w:t>
      </w:r>
    </w:p>
    <w:p w14:paraId="3898A4EF" w14:textId="77777777" w:rsidR="001D2397" w:rsidRDefault="001D2397">
      <w:pPr>
        <w:pStyle w:val="Heading2"/>
        <w:rPr>
          <w:rFonts w:eastAsia="Times New Roman"/>
        </w:rPr>
      </w:pPr>
      <w:r>
        <w:rPr>
          <w:rFonts w:eastAsia="Times New Roman"/>
        </w:rPr>
        <w:t>Objectives</w:t>
      </w:r>
    </w:p>
    <w:p w14:paraId="52FC2D34" w14:textId="77777777" w:rsidR="001D2397" w:rsidRDefault="001D2397" w:rsidP="001D2397">
      <w:pPr>
        <w:numPr>
          <w:ilvl w:val="0"/>
          <w:numId w:val="35"/>
        </w:numPr>
        <w:spacing w:line="276" w:lineRule="auto"/>
        <w:rPr>
          <w:rFonts w:eastAsia="Times New Roman"/>
        </w:rPr>
      </w:pPr>
      <w:r>
        <w:rPr>
          <w:rFonts w:eastAsia="Times New Roman"/>
        </w:rPr>
        <w:t>To explore the core features of CR Equity AI and its impact on commercial real estate lending.</w:t>
      </w:r>
    </w:p>
    <w:p w14:paraId="2F5F0F90" w14:textId="77777777" w:rsidR="001D2397" w:rsidRDefault="001D2397" w:rsidP="001D2397">
      <w:pPr>
        <w:numPr>
          <w:ilvl w:val="0"/>
          <w:numId w:val="35"/>
        </w:numPr>
        <w:spacing w:line="276" w:lineRule="auto"/>
        <w:rPr>
          <w:rFonts w:eastAsia="Times New Roman"/>
        </w:rPr>
      </w:pPr>
      <w:r>
        <w:rPr>
          <w:rFonts w:eastAsia="Times New Roman"/>
        </w:rPr>
        <w:t>To analyze the innovative technologies driving the platform’s success.</w:t>
      </w:r>
    </w:p>
    <w:p w14:paraId="6CE4E1D3" w14:textId="77777777" w:rsidR="001D2397" w:rsidRDefault="001D2397" w:rsidP="001D2397">
      <w:pPr>
        <w:numPr>
          <w:ilvl w:val="0"/>
          <w:numId w:val="35"/>
        </w:numPr>
        <w:spacing w:line="276" w:lineRule="auto"/>
        <w:rPr>
          <w:rFonts w:eastAsia="Times New Roman"/>
        </w:rPr>
      </w:pPr>
      <w:r>
        <w:rPr>
          <w:rFonts w:eastAsia="Times New Roman"/>
        </w:rPr>
        <w:t>To assess the benefits for investors, business owners, and institutional lenders.</w:t>
      </w:r>
    </w:p>
    <w:p w14:paraId="23B845AE" w14:textId="77777777" w:rsidR="001D2397" w:rsidRDefault="001D2397">
      <w:pPr>
        <w:pStyle w:val="Heading2"/>
        <w:rPr>
          <w:rFonts w:eastAsia="Times New Roman"/>
        </w:rPr>
      </w:pPr>
      <w:r>
        <w:rPr>
          <w:rFonts w:eastAsia="Times New Roman"/>
        </w:rPr>
        <w:t>Core Features of CR Equity AI</w:t>
      </w:r>
    </w:p>
    <w:p w14:paraId="6F55D895" w14:textId="77777777" w:rsidR="001D2397" w:rsidRDefault="001D2397">
      <w:pPr>
        <w:pStyle w:val="Heading3"/>
        <w:rPr>
          <w:rFonts w:eastAsia="Times New Roman"/>
        </w:rPr>
      </w:pPr>
      <w:r>
        <w:rPr>
          <w:rFonts w:eastAsia="Times New Roman"/>
        </w:rPr>
        <w:t>Loan Programs</w:t>
      </w:r>
    </w:p>
    <w:p w14:paraId="4B62CB0F" w14:textId="77777777" w:rsidR="001D2397" w:rsidRDefault="001D2397">
      <w:pPr>
        <w:rPr>
          <w:rFonts w:eastAsiaTheme="minorEastAsia"/>
        </w:rPr>
      </w:pPr>
      <w:r>
        <w:t>CR Equity AI offers a comprehensive suite of loan programs designed to meet the diverse needs of investors and businesses:</w:t>
      </w:r>
    </w:p>
    <w:p w14:paraId="2814CCC0" w14:textId="77777777" w:rsidR="001D2397" w:rsidRDefault="001D2397" w:rsidP="001D2397">
      <w:pPr>
        <w:numPr>
          <w:ilvl w:val="0"/>
          <w:numId w:val="36"/>
        </w:numPr>
        <w:spacing w:line="276" w:lineRule="auto"/>
        <w:rPr>
          <w:rFonts w:eastAsia="Times New Roman"/>
        </w:rPr>
      </w:pPr>
      <w:r>
        <w:rPr>
          <w:rFonts w:eastAsia="Times New Roman"/>
          <w:b/>
          <w:bCs/>
        </w:rPr>
        <w:lastRenderedPageBreak/>
        <w:t>Flex 50™:</w:t>
      </w:r>
      <w:r>
        <w:rPr>
          <w:rFonts w:eastAsia="Times New Roman"/>
        </w:rPr>
        <w:t xml:space="preserve"> A flexible loan program tailored for real estate investors.</w:t>
      </w:r>
    </w:p>
    <w:p w14:paraId="40FFB479" w14:textId="77777777" w:rsidR="001D2397" w:rsidRDefault="001D2397" w:rsidP="001D2397">
      <w:pPr>
        <w:numPr>
          <w:ilvl w:val="0"/>
          <w:numId w:val="36"/>
        </w:numPr>
        <w:spacing w:line="276" w:lineRule="auto"/>
        <w:rPr>
          <w:rFonts w:eastAsia="Times New Roman"/>
        </w:rPr>
      </w:pPr>
      <w:r>
        <w:rPr>
          <w:rFonts w:eastAsia="Times New Roman"/>
          <w:b/>
          <w:bCs/>
        </w:rPr>
        <w:t>BTFU™:</w:t>
      </w:r>
      <w:r>
        <w:rPr>
          <w:rFonts w:eastAsia="Times New Roman"/>
        </w:rPr>
        <w:t xml:space="preserve"> A specialized solution for bridge financing.</w:t>
      </w:r>
    </w:p>
    <w:p w14:paraId="2CBB4DD1" w14:textId="77777777" w:rsidR="001D2397" w:rsidRDefault="001D2397" w:rsidP="001D2397">
      <w:pPr>
        <w:numPr>
          <w:ilvl w:val="0"/>
          <w:numId w:val="36"/>
        </w:numPr>
        <w:spacing w:line="276" w:lineRule="auto"/>
        <w:rPr>
          <w:rFonts w:eastAsia="Times New Roman"/>
        </w:rPr>
      </w:pPr>
      <w:r>
        <w:rPr>
          <w:rFonts w:eastAsia="Times New Roman"/>
          <w:b/>
          <w:bCs/>
        </w:rPr>
        <w:t>Non-QM Investor Loans:</w:t>
      </w:r>
      <w:r>
        <w:rPr>
          <w:rFonts w:eastAsia="Times New Roman"/>
        </w:rPr>
        <w:t xml:space="preserve"> Products aimed at non-qualified mortgage investors.</w:t>
      </w:r>
    </w:p>
    <w:p w14:paraId="28A505D2" w14:textId="77777777" w:rsidR="001D2397" w:rsidRDefault="001D2397" w:rsidP="001D2397">
      <w:pPr>
        <w:numPr>
          <w:ilvl w:val="0"/>
          <w:numId w:val="36"/>
        </w:numPr>
        <w:spacing w:line="276" w:lineRule="auto"/>
        <w:rPr>
          <w:rFonts w:eastAsia="Times New Roman"/>
        </w:rPr>
      </w:pPr>
      <w:r>
        <w:rPr>
          <w:rFonts w:eastAsia="Times New Roman"/>
          <w:b/>
          <w:bCs/>
        </w:rPr>
        <w:t>Crypto-Backed Liquidity:</w:t>
      </w:r>
      <w:r>
        <w:rPr>
          <w:rFonts w:eastAsia="Times New Roman"/>
        </w:rPr>
        <w:t xml:space="preserve"> Innovative liquidity solutions leveraging digital assets.</w:t>
      </w:r>
    </w:p>
    <w:p w14:paraId="5DDD1A49" w14:textId="77777777" w:rsidR="001D2397" w:rsidRDefault="001D2397" w:rsidP="001D2397">
      <w:pPr>
        <w:numPr>
          <w:ilvl w:val="0"/>
          <w:numId w:val="36"/>
        </w:numPr>
        <w:spacing w:line="276" w:lineRule="auto"/>
        <w:rPr>
          <w:rFonts w:eastAsia="Times New Roman"/>
        </w:rPr>
      </w:pPr>
      <w:r>
        <w:rPr>
          <w:rFonts w:eastAsia="Times New Roman"/>
          <w:b/>
          <w:bCs/>
        </w:rPr>
        <w:t>Working Capital Solutions:</w:t>
      </w:r>
      <w:r>
        <w:rPr>
          <w:rFonts w:eastAsia="Times New Roman"/>
        </w:rPr>
        <w:t xml:space="preserve"> Quick access to funding for operational requirements.</w:t>
      </w:r>
    </w:p>
    <w:p w14:paraId="064649ED" w14:textId="77777777" w:rsidR="001D2397" w:rsidRDefault="001D2397">
      <w:pPr>
        <w:rPr>
          <w:rFonts w:eastAsiaTheme="minorEastAsia"/>
        </w:rPr>
      </w:pPr>
      <w:r>
        <w:t>These loan programs feature rapid approval processes, streamlined funding, and clear eligibility criteria, making them appealing to contemporary borrowers.</w:t>
      </w:r>
    </w:p>
    <w:p w14:paraId="518EAFAF" w14:textId="77777777" w:rsidR="001D2397" w:rsidRDefault="001D2397">
      <w:pPr>
        <w:pStyle w:val="Heading3"/>
        <w:rPr>
          <w:rFonts w:eastAsia="Times New Roman"/>
        </w:rPr>
      </w:pPr>
      <w:r>
        <w:rPr>
          <w:rFonts w:eastAsia="Times New Roman"/>
        </w:rPr>
        <w:t>Application Process &amp; Workflow</w:t>
      </w:r>
    </w:p>
    <w:p w14:paraId="69F6BB51" w14:textId="77777777" w:rsidR="001D2397" w:rsidRDefault="001D2397">
      <w:pPr>
        <w:rPr>
          <w:rFonts w:eastAsiaTheme="minorEastAsia"/>
        </w:rPr>
      </w:pPr>
      <w:r>
        <w:t>The platform’s application process is built to reduce traditional lending bottlenecks:</w:t>
      </w:r>
    </w:p>
    <w:p w14:paraId="397CFE19" w14:textId="77777777" w:rsidR="001D2397" w:rsidRDefault="001D2397" w:rsidP="001D2397">
      <w:pPr>
        <w:numPr>
          <w:ilvl w:val="0"/>
          <w:numId w:val="37"/>
        </w:numPr>
        <w:spacing w:line="276" w:lineRule="auto"/>
        <w:rPr>
          <w:rFonts w:eastAsia="Times New Roman"/>
        </w:rPr>
      </w:pPr>
      <w:r>
        <w:rPr>
          <w:rFonts w:eastAsia="Times New Roman"/>
          <w:b/>
          <w:bCs/>
        </w:rPr>
        <w:t>Step-by-Step Workflow:</w:t>
      </w:r>
      <w:r>
        <w:rPr>
          <w:rFonts w:eastAsia="Times New Roman"/>
        </w:rPr>
        <w:t xml:space="preserve"> From application submission to funding, CR Equity AI delivers a smooth experience.</w:t>
      </w:r>
    </w:p>
    <w:p w14:paraId="0B2CDF99" w14:textId="77777777" w:rsidR="001D2397" w:rsidRDefault="001D2397" w:rsidP="001D2397">
      <w:pPr>
        <w:numPr>
          <w:ilvl w:val="0"/>
          <w:numId w:val="37"/>
        </w:numPr>
        <w:spacing w:line="276" w:lineRule="auto"/>
        <w:rPr>
          <w:rFonts w:eastAsia="Times New Roman"/>
        </w:rPr>
      </w:pPr>
      <w:r>
        <w:rPr>
          <w:rFonts w:eastAsia="Times New Roman"/>
          <w:b/>
          <w:bCs/>
        </w:rPr>
        <w:t>AI Valuation:</w:t>
      </w:r>
      <w:r>
        <w:rPr>
          <w:rFonts w:eastAsia="Times New Roman"/>
        </w:rPr>
        <w:t xml:space="preserve"> Advanced algorithms provide real-time property valuations.</w:t>
      </w:r>
    </w:p>
    <w:p w14:paraId="538AB43E" w14:textId="77777777" w:rsidR="001D2397" w:rsidRDefault="001D2397" w:rsidP="001D2397">
      <w:pPr>
        <w:numPr>
          <w:ilvl w:val="0"/>
          <w:numId w:val="37"/>
        </w:numPr>
        <w:spacing w:line="276" w:lineRule="auto"/>
        <w:rPr>
          <w:rFonts w:eastAsia="Times New Roman"/>
        </w:rPr>
      </w:pPr>
      <w:r>
        <w:rPr>
          <w:rFonts w:eastAsia="Times New Roman"/>
          <w:b/>
          <w:bCs/>
        </w:rPr>
        <w:t>Automated Underwriting:</w:t>
      </w:r>
      <w:r>
        <w:rPr>
          <w:rFonts w:eastAsia="Times New Roman"/>
        </w:rPr>
        <w:t xml:space="preserve"> Machine learning expedites credit evaluation and risk assessment.</w:t>
      </w:r>
    </w:p>
    <w:p w14:paraId="0B318931" w14:textId="77777777" w:rsidR="001D2397" w:rsidRDefault="001D2397" w:rsidP="001D2397">
      <w:pPr>
        <w:numPr>
          <w:ilvl w:val="0"/>
          <w:numId w:val="37"/>
        </w:numPr>
        <w:spacing w:line="276" w:lineRule="auto"/>
        <w:rPr>
          <w:rFonts w:eastAsia="Times New Roman"/>
        </w:rPr>
      </w:pPr>
      <w:r>
        <w:rPr>
          <w:rFonts w:eastAsia="Times New Roman"/>
          <w:b/>
          <w:bCs/>
        </w:rPr>
        <w:t>Reduced Processing Times:</w:t>
      </w:r>
      <w:r>
        <w:rPr>
          <w:rFonts w:eastAsia="Times New Roman"/>
        </w:rPr>
        <w:t xml:space="preserve"> Approval and funding timelines are shortened from weeks to days.</w:t>
      </w:r>
    </w:p>
    <w:p w14:paraId="0668C80A" w14:textId="77777777" w:rsidR="001D2397" w:rsidRDefault="001D2397">
      <w:pPr>
        <w:pStyle w:val="Heading3"/>
        <w:rPr>
          <w:rFonts w:eastAsia="Times New Roman"/>
        </w:rPr>
      </w:pPr>
      <w:r>
        <w:rPr>
          <w:rFonts w:eastAsia="Times New Roman"/>
        </w:rPr>
        <w:t>Technology &amp; Innovation</w:t>
      </w:r>
    </w:p>
    <w:p w14:paraId="7CCED3B0" w14:textId="77777777" w:rsidR="001D2397" w:rsidRDefault="001D2397">
      <w:pPr>
        <w:rPr>
          <w:rFonts w:eastAsiaTheme="minorEastAsia"/>
        </w:rPr>
      </w:pPr>
      <w:r>
        <w:t>CR Equity AI integrates advanced technologies to optimize lending efficiency:</w:t>
      </w:r>
    </w:p>
    <w:p w14:paraId="259BFFA6" w14:textId="77777777" w:rsidR="001D2397" w:rsidRDefault="001D2397" w:rsidP="001D2397">
      <w:pPr>
        <w:numPr>
          <w:ilvl w:val="0"/>
          <w:numId w:val="38"/>
        </w:numPr>
        <w:spacing w:line="276" w:lineRule="auto"/>
        <w:rPr>
          <w:rFonts w:eastAsia="Times New Roman"/>
        </w:rPr>
      </w:pPr>
      <w:r>
        <w:rPr>
          <w:rFonts w:eastAsia="Times New Roman"/>
          <w:b/>
          <w:bCs/>
        </w:rPr>
        <w:t>AI-Powered Valuation (AIVA):</w:t>
      </w:r>
      <w:r>
        <w:rPr>
          <w:rFonts w:eastAsia="Times New Roman"/>
        </w:rPr>
        <w:t xml:space="preserve"> Delivers accurate, real-time property assessments.</w:t>
      </w:r>
    </w:p>
    <w:p w14:paraId="6CAB4EC1" w14:textId="77777777" w:rsidR="001D2397" w:rsidRDefault="001D2397" w:rsidP="001D2397">
      <w:pPr>
        <w:numPr>
          <w:ilvl w:val="0"/>
          <w:numId w:val="38"/>
        </w:numPr>
        <w:spacing w:line="276" w:lineRule="auto"/>
        <w:rPr>
          <w:rFonts w:eastAsia="Times New Roman"/>
        </w:rPr>
      </w:pPr>
      <w:r>
        <w:rPr>
          <w:rFonts w:eastAsia="Times New Roman"/>
          <w:b/>
          <w:bCs/>
        </w:rPr>
        <w:t>Blockchain Tokenization:</w:t>
      </w:r>
      <w:r>
        <w:rPr>
          <w:rFonts w:eastAsia="Times New Roman"/>
        </w:rPr>
        <w:t xml:space="preserve"> Ensures secure and transparent settlement mechanisms.</w:t>
      </w:r>
    </w:p>
    <w:p w14:paraId="02F93EF3" w14:textId="77777777" w:rsidR="001D2397" w:rsidRDefault="001D2397" w:rsidP="001D2397">
      <w:pPr>
        <w:numPr>
          <w:ilvl w:val="0"/>
          <w:numId w:val="38"/>
        </w:numPr>
        <w:spacing w:line="276" w:lineRule="auto"/>
        <w:rPr>
          <w:rFonts w:eastAsia="Times New Roman"/>
        </w:rPr>
      </w:pPr>
      <w:r>
        <w:rPr>
          <w:rFonts w:eastAsia="Times New Roman"/>
          <w:b/>
          <w:bCs/>
        </w:rPr>
        <w:t>Global Capital Access:</w:t>
      </w:r>
      <w:r>
        <w:rPr>
          <w:rFonts w:eastAsia="Times New Roman"/>
        </w:rPr>
        <w:t xml:space="preserve"> Provides scalable infrastructure for cross-border financing.</w:t>
      </w:r>
    </w:p>
    <w:p w14:paraId="2EF094EB" w14:textId="77777777" w:rsidR="001D2397" w:rsidRDefault="001D2397" w:rsidP="001D2397">
      <w:pPr>
        <w:numPr>
          <w:ilvl w:val="0"/>
          <w:numId w:val="38"/>
        </w:numPr>
        <w:spacing w:line="276" w:lineRule="auto"/>
        <w:rPr>
          <w:rFonts w:eastAsia="Times New Roman"/>
        </w:rPr>
      </w:pPr>
      <w:r>
        <w:rPr>
          <w:rFonts w:eastAsia="Times New Roman"/>
          <w:b/>
          <w:bCs/>
        </w:rPr>
        <w:t>Compliance &amp; Automation:</w:t>
      </w:r>
      <w:r>
        <w:rPr>
          <w:rFonts w:eastAsia="Times New Roman"/>
        </w:rPr>
        <w:t xml:space="preserve"> Maintains data integrity and regulatory compliance.</w:t>
      </w:r>
    </w:p>
    <w:p w14:paraId="5E8DCE64" w14:textId="77777777" w:rsidR="001D2397" w:rsidRDefault="001D2397">
      <w:pPr>
        <w:pStyle w:val="Heading3"/>
        <w:rPr>
          <w:rFonts w:eastAsia="Times New Roman"/>
        </w:rPr>
      </w:pPr>
      <w:r>
        <w:rPr>
          <w:rFonts w:eastAsia="Times New Roman"/>
        </w:rPr>
        <w:t>Platform Benefits &amp; Performance</w:t>
      </w:r>
    </w:p>
    <w:p w14:paraId="0133CD11" w14:textId="77777777" w:rsidR="001D2397" w:rsidRDefault="001D2397">
      <w:pPr>
        <w:rPr>
          <w:rFonts w:eastAsiaTheme="minorEastAsia"/>
        </w:rPr>
      </w:pPr>
      <w:r>
        <w:t>The platform offers substantial benefits to users:</w:t>
      </w:r>
    </w:p>
    <w:p w14:paraId="3B4EA685" w14:textId="77777777" w:rsidR="001D2397" w:rsidRDefault="001D2397" w:rsidP="001D2397">
      <w:pPr>
        <w:numPr>
          <w:ilvl w:val="0"/>
          <w:numId w:val="39"/>
        </w:numPr>
        <w:spacing w:line="276" w:lineRule="auto"/>
        <w:rPr>
          <w:rFonts w:eastAsia="Times New Roman"/>
        </w:rPr>
      </w:pPr>
      <w:r>
        <w:rPr>
          <w:rFonts w:eastAsia="Times New Roman"/>
          <w:b/>
          <w:bCs/>
        </w:rPr>
        <w:t>Faster Approvals:</w:t>
      </w:r>
      <w:r>
        <w:rPr>
          <w:rFonts w:eastAsia="Times New Roman"/>
        </w:rPr>
        <w:t xml:space="preserve"> Accelerated decision-making reduces interest exposure.</w:t>
      </w:r>
    </w:p>
    <w:p w14:paraId="53570FA3" w14:textId="77777777" w:rsidR="001D2397" w:rsidRDefault="001D2397" w:rsidP="001D2397">
      <w:pPr>
        <w:numPr>
          <w:ilvl w:val="0"/>
          <w:numId w:val="39"/>
        </w:numPr>
        <w:spacing w:line="276" w:lineRule="auto"/>
        <w:rPr>
          <w:rFonts w:eastAsia="Times New Roman"/>
        </w:rPr>
      </w:pPr>
      <w:r>
        <w:rPr>
          <w:rFonts w:eastAsia="Times New Roman"/>
          <w:b/>
          <w:bCs/>
        </w:rPr>
        <w:t>Cost Savings:</w:t>
      </w:r>
      <w:r>
        <w:rPr>
          <w:rFonts w:eastAsia="Times New Roman"/>
        </w:rPr>
        <w:t xml:space="preserve"> Lower processing costs and prevention of rental income losses.</w:t>
      </w:r>
    </w:p>
    <w:p w14:paraId="4DFFC4EB" w14:textId="77777777" w:rsidR="001D2397" w:rsidRDefault="001D2397" w:rsidP="001D2397">
      <w:pPr>
        <w:numPr>
          <w:ilvl w:val="0"/>
          <w:numId w:val="39"/>
        </w:numPr>
        <w:spacing w:line="276" w:lineRule="auto"/>
        <w:rPr>
          <w:rFonts w:eastAsia="Times New Roman"/>
        </w:rPr>
      </w:pPr>
      <w:r>
        <w:rPr>
          <w:rFonts w:eastAsia="Times New Roman"/>
          <w:b/>
          <w:bCs/>
        </w:rPr>
        <w:t>Transparent Workflows:</w:t>
      </w:r>
      <w:r>
        <w:rPr>
          <w:rFonts w:eastAsia="Times New Roman"/>
        </w:rPr>
        <w:t xml:space="preserve"> Audit-ready processes build reliability and trust.</w:t>
      </w:r>
    </w:p>
    <w:p w14:paraId="68324A01" w14:textId="77777777" w:rsidR="001D2397" w:rsidRDefault="001D2397">
      <w:pPr>
        <w:pStyle w:val="Heading2"/>
        <w:rPr>
          <w:rFonts w:eastAsia="Times New Roman"/>
        </w:rPr>
      </w:pPr>
      <w:r>
        <w:rPr>
          <w:rFonts w:eastAsia="Times New Roman"/>
        </w:rPr>
        <w:lastRenderedPageBreak/>
        <w:t>Success Stories &amp; Testimonials</w:t>
      </w:r>
    </w:p>
    <w:p w14:paraId="6C4DF203" w14:textId="77777777" w:rsidR="001D2397" w:rsidRDefault="001D2397">
      <w:pPr>
        <w:rPr>
          <w:rFonts w:eastAsiaTheme="minorEastAsia"/>
        </w:rPr>
      </w:pPr>
      <w:r>
        <w:t>CR Equity AI has received strong endorsements from business owners and investors who have utilized its innovative solutions:</w:t>
      </w:r>
    </w:p>
    <w:p w14:paraId="054A3B47" w14:textId="77777777" w:rsidR="001D2397" w:rsidRDefault="001D2397" w:rsidP="001D2397">
      <w:pPr>
        <w:numPr>
          <w:ilvl w:val="0"/>
          <w:numId w:val="40"/>
        </w:numPr>
        <w:spacing w:line="276" w:lineRule="auto"/>
        <w:rPr>
          <w:rFonts w:eastAsia="Times New Roman"/>
        </w:rPr>
      </w:pPr>
      <w:r>
        <w:rPr>
          <w:rFonts w:eastAsia="Times New Roman"/>
          <w:b/>
          <w:bCs/>
        </w:rPr>
        <w:t>Rapid Funding:</w:t>
      </w:r>
      <w:r>
        <w:rPr>
          <w:rFonts w:eastAsia="Times New Roman"/>
        </w:rPr>
        <w:t xml:space="preserve"> Clients report receiving funds within days, allowing them to act on time-sensitive opportunities.</w:t>
      </w:r>
    </w:p>
    <w:p w14:paraId="0BD0D2B6" w14:textId="77777777" w:rsidR="001D2397" w:rsidRDefault="001D2397" w:rsidP="001D2397">
      <w:pPr>
        <w:numPr>
          <w:ilvl w:val="0"/>
          <w:numId w:val="40"/>
        </w:numPr>
        <w:spacing w:line="276" w:lineRule="auto"/>
        <w:rPr>
          <w:rFonts w:eastAsia="Times New Roman"/>
        </w:rPr>
      </w:pPr>
      <w:r>
        <w:rPr>
          <w:rFonts w:eastAsia="Times New Roman"/>
          <w:b/>
          <w:bCs/>
        </w:rPr>
        <w:t>Ease of Use:</w:t>
      </w:r>
      <w:r>
        <w:rPr>
          <w:rFonts w:eastAsia="Times New Roman"/>
        </w:rPr>
        <w:t xml:space="preserve"> The intuitive platform interface simplifies the application process.</w:t>
      </w:r>
    </w:p>
    <w:p w14:paraId="65304145" w14:textId="77777777" w:rsidR="001D2397" w:rsidRDefault="001D2397" w:rsidP="001D2397">
      <w:pPr>
        <w:numPr>
          <w:ilvl w:val="0"/>
          <w:numId w:val="40"/>
        </w:numPr>
        <w:spacing w:line="276" w:lineRule="auto"/>
        <w:rPr>
          <w:rFonts w:eastAsia="Times New Roman"/>
        </w:rPr>
      </w:pPr>
      <w:r>
        <w:rPr>
          <w:rFonts w:eastAsia="Times New Roman"/>
          <w:b/>
          <w:bCs/>
        </w:rPr>
        <w:t>High Satisfaction:</w:t>
      </w:r>
      <w:r>
        <w:rPr>
          <w:rFonts w:eastAsia="Times New Roman"/>
        </w:rPr>
        <w:t xml:space="preserve"> Testimonials highlight the platform’s reliability and efficiency.</w:t>
      </w:r>
    </w:p>
    <w:p w14:paraId="0744D3E7" w14:textId="77777777" w:rsidR="001D2397" w:rsidRDefault="001D2397">
      <w:pPr>
        <w:pStyle w:val="Heading2"/>
        <w:rPr>
          <w:rFonts w:eastAsia="Times New Roman"/>
        </w:rPr>
      </w:pPr>
      <w:r>
        <w:rPr>
          <w:rFonts w:eastAsia="Times New Roman"/>
        </w:rPr>
        <w:t>Industry Impact &amp; Future Vision</w:t>
      </w:r>
    </w:p>
    <w:p w14:paraId="7682049B" w14:textId="77777777" w:rsidR="001D2397" w:rsidRDefault="001D2397">
      <w:pPr>
        <w:pStyle w:val="Heading3"/>
        <w:rPr>
          <w:rFonts w:eastAsia="Times New Roman"/>
        </w:rPr>
      </w:pPr>
      <w:r>
        <w:rPr>
          <w:rFonts w:eastAsia="Times New Roman"/>
        </w:rPr>
        <w:t>Transforming Real Estate Finance</w:t>
      </w:r>
    </w:p>
    <w:p w14:paraId="74F79748" w14:textId="77777777" w:rsidR="001D2397" w:rsidRDefault="001D2397">
      <w:pPr>
        <w:rPr>
          <w:rFonts w:eastAsiaTheme="minorEastAsia"/>
        </w:rPr>
      </w:pPr>
      <w:r>
        <w:t>CR Equity AI is leading the transformation of commercial real estate lending by harnessing AI and blockchain technologies. Automation in underwriting and the introduction of tokenized settlements are driving more efficient, compliant, and scalable credit infrastructure.</w:t>
      </w:r>
    </w:p>
    <w:p w14:paraId="5973916D" w14:textId="77777777" w:rsidR="001D2397" w:rsidRDefault="001D2397">
      <w:pPr>
        <w:pStyle w:val="Heading3"/>
        <w:rPr>
          <w:rFonts w:eastAsia="Times New Roman"/>
        </w:rPr>
      </w:pPr>
      <w:r>
        <w:rPr>
          <w:rFonts w:eastAsia="Times New Roman"/>
        </w:rPr>
        <w:t>Blockchain and Fractional Ownership</w:t>
      </w:r>
    </w:p>
    <w:p w14:paraId="419EEE92" w14:textId="77777777" w:rsidR="001D2397" w:rsidRDefault="001D2397">
      <w:pPr>
        <w:rPr>
          <w:rFonts w:eastAsiaTheme="minorEastAsia"/>
        </w:rPr>
      </w:pPr>
      <w:r>
        <w:t>Blockchain integration enables secure, transparent transactions and facilitates fractional ownership and cross-border financing. This innovation is poised to change how institutional investments are managed and deployed.</w:t>
      </w:r>
    </w:p>
    <w:p w14:paraId="09332711" w14:textId="77777777" w:rsidR="001D2397" w:rsidRDefault="001D2397">
      <w:pPr>
        <w:pStyle w:val="Heading2"/>
        <w:rPr>
          <w:rFonts w:eastAsia="Times New Roman"/>
        </w:rPr>
      </w:pPr>
      <w:r>
        <w:rPr>
          <w:rFonts w:eastAsia="Times New Roman"/>
        </w:rPr>
        <w:t>Conclusion</w:t>
      </w:r>
    </w:p>
    <w:p w14:paraId="0A6E6A5B" w14:textId="77777777" w:rsidR="001D2397" w:rsidRDefault="001D2397">
      <w:pPr>
        <w:rPr>
          <w:rFonts w:eastAsiaTheme="minorEastAsia"/>
        </w:rPr>
      </w:pPr>
      <w:r>
        <w:t>CR Equity AI marks a paradigm shift in commercial real estate lending. Its AI-based underwriting and blockchain-driven tokenization deliver unmatched speed, efficiency, and transparency. As the platform evolves, it is set to guide the industry toward a new era of digital lending and institutional credit distribution.</w:t>
      </w:r>
    </w:p>
    <w:p w14:paraId="48F2DADB" w14:textId="77777777" w:rsidR="001D2397" w:rsidRDefault="001D2397">
      <w:pPr>
        <w:pStyle w:val="Heading2"/>
        <w:rPr>
          <w:rFonts w:eastAsia="Times New Roman"/>
        </w:rPr>
      </w:pPr>
      <w:r>
        <w:rPr>
          <w:rFonts w:eastAsia="Times New Roman"/>
        </w:rPr>
        <w:t>References</w:t>
      </w:r>
    </w:p>
    <w:p w14:paraId="27C2ED6F" w14:textId="77777777" w:rsidR="001D2397" w:rsidRDefault="001D2397" w:rsidP="001D2397">
      <w:pPr>
        <w:numPr>
          <w:ilvl w:val="0"/>
          <w:numId w:val="41"/>
        </w:numPr>
        <w:spacing w:line="276" w:lineRule="auto"/>
        <w:rPr>
          <w:rFonts w:eastAsia="Times New Roman"/>
        </w:rPr>
      </w:pPr>
      <w:r>
        <w:rPr>
          <w:rFonts w:eastAsia="Times New Roman"/>
        </w:rPr>
        <w:t>CR Equity AI Website: https://crequity.ai</w:t>
      </w:r>
    </w:p>
    <w:p w14:paraId="7C1B880C" w14:textId="77777777" w:rsidR="001D2397" w:rsidRDefault="001D2397" w:rsidP="001D2397">
      <w:pPr>
        <w:numPr>
          <w:ilvl w:val="0"/>
          <w:numId w:val="41"/>
        </w:numPr>
        <w:spacing w:line="276" w:lineRule="auto"/>
        <w:rPr>
          <w:rFonts w:eastAsia="Times New Roman"/>
        </w:rPr>
      </w:pPr>
      <w:r>
        <w:rPr>
          <w:rFonts w:eastAsia="Times New Roman"/>
        </w:rPr>
        <w:t>Loan Calculator: https://app.crequity.ai/loan-calculator</w:t>
      </w:r>
    </w:p>
    <w:p w14:paraId="473F3490" w14:textId="77777777" w:rsidR="001D2397" w:rsidRDefault="001D2397" w:rsidP="001D2397">
      <w:pPr>
        <w:numPr>
          <w:ilvl w:val="0"/>
          <w:numId w:val="41"/>
        </w:numPr>
        <w:spacing w:line="276" w:lineRule="auto"/>
        <w:rPr>
          <w:rFonts w:eastAsia="Times New Roman"/>
        </w:rPr>
      </w:pPr>
      <w:r>
        <w:rPr>
          <w:rFonts w:eastAsia="Times New Roman"/>
        </w:rPr>
        <w:t>Business Loan Application: https://app.crequity.ai/loan-application?loanType='business https://app.crequity.ai/loan-application?loanType=business</w:t>
      </w:r>
    </w:p>
    <w:p w14:paraId="5ED04A0F" w14:textId="77777777" w:rsidR="001D2397" w:rsidRDefault="001D2397" w:rsidP="001D2397">
      <w:pPr>
        <w:numPr>
          <w:ilvl w:val="0"/>
          <w:numId w:val="41"/>
        </w:numPr>
        <w:spacing w:line="276" w:lineRule="auto"/>
        <w:rPr>
          <w:rFonts w:eastAsia="Times New Roman"/>
        </w:rPr>
      </w:pPr>
      <w:r>
        <w:rPr>
          <w:rFonts w:eastAsia="Times New Roman"/>
        </w:rPr>
        <w:t>CR Equity AI Blog: https://crequity.ai/blogs</w:t>
      </w:r>
    </w:p>
    <w:p w14:paraId="77B601CE" w14:textId="77777777" w:rsidR="001D2397" w:rsidRDefault="001D2397" w:rsidP="001D2397">
      <w:pPr>
        <w:numPr>
          <w:ilvl w:val="0"/>
          <w:numId w:val="41"/>
        </w:numPr>
        <w:spacing w:line="276" w:lineRule="auto"/>
        <w:rPr>
          <w:rFonts w:eastAsia="Times New Roman"/>
        </w:rPr>
      </w:pPr>
      <w:r>
        <w:rPr>
          <w:rFonts w:eastAsia="Times New Roman"/>
        </w:rPr>
        <w:lastRenderedPageBreak/>
        <w:t>INC 5000 - 2025 Award: https://www.inc.com/profile/cr-equity-ai</w:t>
      </w:r>
    </w:p>
    <w:sectPr w:rsidR="001D2397">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F54F" w14:textId="77777777" w:rsidR="00C23543" w:rsidRDefault="00C23543" w:rsidP="001D2397">
      <w:pPr>
        <w:spacing w:after="0" w:line="240" w:lineRule="auto"/>
      </w:pPr>
      <w:r>
        <w:separator/>
      </w:r>
    </w:p>
  </w:endnote>
  <w:endnote w:type="continuationSeparator" w:id="0">
    <w:p w14:paraId="3D5ADF6E" w14:textId="77777777" w:rsidR="00C23543" w:rsidRDefault="00C23543" w:rsidP="001D2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8611720"/>
      <w:docPartObj>
        <w:docPartGallery w:val="Page Numbers (Bottom of Page)"/>
        <w:docPartUnique/>
      </w:docPartObj>
    </w:sdtPr>
    <w:sdtContent>
      <w:p w14:paraId="3533FB5B" w14:textId="4C0AD719" w:rsidR="001D2397" w:rsidRDefault="001D2397" w:rsidP="00BC4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6A61BA" w14:textId="77777777" w:rsidR="001D2397" w:rsidRDefault="001D2397" w:rsidP="001D2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49019"/>
      <w:docPartObj>
        <w:docPartGallery w:val="Page Numbers (Bottom of Page)"/>
        <w:docPartUnique/>
      </w:docPartObj>
    </w:sdtPr>
    <w:sdtContent>
      <w:p w14:paraId="1FC85FF2" w14:textId="2975446F" w:rsidR="001D2397" w:rsidRDefault="001D2397" w:rsidP="00BC4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201F2B3" w14:textId="77777777" w:rsidR="001D2397" w:rsidRDefault="001D2397" w:rsidP="001D23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67665" w14:textId="77777777" w:rsidR="00C23543" w:rsidRDefault="00C23543" w:rsidP="001D2397">
      <w:pPr>
        <w:spacing w:after="0" w:line="240" w:lineRule="auto"/>
      </w:pPr>
      <w:r>
        <w:separator/>
      </w:r>
    </w:p>
  </w:footnote>
  <w:footnote w:type="continuationSeparator" w:id="0">
    <w:p w14:paraId="248EC48C" w14:textId="77777777" w:rsidR="00C23543" w:rsidRDefault="00C23543" w:rsidP="001D2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2BE2"/>
    <w:multiLevelType w:val="multilevel"/>
    <w:tmpl w:val="9176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B1706"/>
    <w:multiLevelType w:val="multilevel"/>
    <w:tmpl w:val="048C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A7002"/>
    <w:multiLevelType w:val="multilevel"/>
    <w:tmpl w:val="B3F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56F0D"/>
    <w:multiLevelType w:val="multilevel"/>
    <w:tmpl w:val="1B84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0035B"/>
    <w:multiLevelType w:val="multilevel"/>
    <w:tmpl w:val="C92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E1C7E"/>
    <w:multiLevelType w:val="multilevel"/>
    <w:tmpl w:val="673C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A7B7C"/>
    <w:multiLevelType w:val="multilevel"/>
    <w:tmpl w:val="3638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65C9A"/>
    <w:multiLevelType w:val="multilevel"/>
    <w:tmpl w:val="85B2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5574C"/>
    <w:multiLevelType w:val="multilevel"/>
    <w:tmpl w:val="A1D4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84CCF"/>
    <w:multiLevelType w:val="multilevel"/>
    <w:tmpl w:val="C4EE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54791"/>
    <w:multiLevelType w:val="multilevel"/>
    <w:tmpl w:val="7F3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B56EF"/>
    <w:multiLevelType w:val="multilevel"/>
    <w:tmpl w:val="8B0C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054D3"/>
    <w:multiLevelType w:val="multilevel"/>
    <w:tmpl w:val="F1A6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A1FCE"/>
    <w:multiLevelType w:val="multilevel"/>
    <w:tmpl w:val="B372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773D9"/>
    <w:multiLevelType w:val="multilevel"/>
    <w:tmpl w:val="30E0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7C1ECD"/>
    <w:multiLevelType w:val="multilevel"/>
    <w:tmpl w:val="A110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66B68"/>
    <w:multiLevelType w:val="multilevel"/>
    <w:tmpl w:val="852A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173E9"/>
    <w:multiLevelType w:val="multilevel"/>
    <w:tmpl w:val="EA3C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81F3E"/>
    <w:multiLevelType w:val="multilevel"/>
    <w:tmpl w:val="9746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07297"/>
    <w:multiLevelType w:val="multilevel"/>
    <w:tmpl w:val="B2B0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94509"/>
    <w:multiLevelType w:val="multilevel"/>
    <w:tmpl w:val="6C86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A6AD2"/>
    <w:multiLevelType w:val="multilevel"/>
    <w:tmpl w:val="AE68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F061AA"/>
    <w:multiLevelType w:val="multilevel"/>
    <w:tmpl w:val="F842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20C8A"/>
    <w:multiLevelType w:val="multilevel"/>
    <w:tmpl w:val="9392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15E5C"/>
    <w:multiLevelType w:val="multilevel"/>
    <w:tmpl w:val="7E50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E00CC"/>
    <w:multiLevelType w:val="multilevel"/>
    <w:tmpl w:val="6504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A580F"/>
    <w:multiLevelType w:val="multilevel"/>
    <w:tmpl w:val="E408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862B92"/>
    <w:multiLevelType w:val="multilevel"/>
    <w:tmpl w:val="7204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415EE"/>
    <w:multiLevelType w:val="multilevel"/>
    <w:tmpl w:val="1DA6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93685"/>
    <w:multiLevelType w:val="multilevel"/>
    <w:tmpl w:val="7C4A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281152"/>
    <w:multiLevelType w:val="multilevel"/>
    <w:tmpl w:val="5BE0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423C23"/>
    <w:multiLevelType w:val="multilevel"/>
    <w:tmpl w:val="9F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F49AC"/>
    <w:multiLevelType w:val="multilevel"/>
    <w:tmpl w:val="FAB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B4EDE"/>
    <w:multiLevelType w:val="multilevel"/>
    <w:tmpl w:val="ABBA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4D78F6"/>
    <w:multiLevelType w:val="multilevel"/>
    <w:tmpl w:val="8506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B3230"/>
    <w:multiLevelType w:val="multilevel"/>
    <w:tmpl w:val="3D04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C55D4D"/>
    <w:multiLevelType w:val="multilevel"/>
    <w:tmpl w:val="14C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2097B"/>
    <w:multiLevelType w:val="multilevel"/>
    <w:tmpl w:val="C3B0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8A28A8"/>
    <w:multiLevelType w:val="multilevel"/>
    <w:tmpl w:val="D7A4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E96E17"/>
    <w:multiLevelType w:val="multilevel"/>
    <w:tmpl w:val="5782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5D768A"/>
    <w:multiLevelType w:val="multilevel"/>
    <w:tmpl w:val="C196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9436">
    <w:abstractNumId w:val="34"/>
  </w:num>
  <w:num w:numId="2" w16cid:durableId="1682583598">
    <w:abstractNumId w:val="9"/>
  </w:num>
  <w:num w:numId="3" w16cid:durableId="1948388164">
    <w:abstractNumId w:val="5"/>
  </w:num>
  <w:num w:numId="4" w16cid:durableId="613564659">
    <w:abstractNumId w:val="36"/>
  </w:num>
  <w:num w:numId="5" w16cid:durableId="276763211">
    <w:abstractNumId w:val="21"/>
  </w:num>
  <w:num w:numId="6" w16cid:durableId="1597248988">
    <w:abstractNumId w:val="16"/>
  </w:num>
  <w:num w:numId="7" w16cid:durableId="777454114">
    <w:abstractNumId w:val="37"/>
  </w:num>
  <w:num w:numId="8" w16cid:durableId="277414851">
    <w:abstractNumId w:val="0"/>
  </w:num>
  <w:num w:numId="9" w16cid:durableId="2099474583">
    <w:abstractNumId w:val="29"/>
  </w:num>
  <w:num w:numId="10" w16cid:durableId="889194587">
    <w:abstractNumId w:val="11"/>
  </w:num>
  <w:num w:numId="11" w16cid:durableId="1996714350">
    <w:abstractNumId w:val="12"/>
  </w:num>
  <w:num w:numId="12" w16cid:durableId="2107461912">
    <w:abstractNumId w:val="19"/>
  </w:num>
  <w:num w:numId="13" w16cid:durableId="1303920689">
    <w:abstractNumId w:val="25"/>
  </w:num>
  <w:num w:numId="14" w16cid:durableId="1392267899">
    <w:abstractNumId w:val="10"/>
  </w:num>
  <w:num w:numId="15" w16cid:durableId="1592658831">
    <w:abstractNumId w:val="6"/>
  </w:num>
  <w:num w:numId="16" w16cid:durableId="1284767997">
    <w:abstractNumId w:val="27"/>
  </w:num>
  <w:num w:numId="17" w16cid:durableId="1877304985">
    <w:abstractNumId w:val="35"/>
  </w:num>
  <w:num w:numId="18" w16cid:durableId="1673683258">
    <w:abstractNumId w:val="3"/>
  </w:num>
  <w:num w:numId="19" w16cid:durableId="1380470028">
    <w:abstractNumId w:val="31"/>
  </w:num>
  <w:num w:numId="20" w16cid:durableId="1778015620">
    <w:abstractNumId w:val="15"/>
  </w:num>
  <w:num w:numId="21" w16cid:durableId="1845513742">
    <w:abstractNumId w:val="32"/>
  </w:num>
  <w:num w:numId="22" w16cid:durableId="401223996">
    <w:abstractNumId w:val="14"/>
  </w:num>
  <w:num w:numId="23" w16cid:durableId="236719419">
    <w:abstractNumId w:val="2"/>
  </w:num>
  <w:num w:numId="24" w16cid:durableId="1624800633">
    <w:abstractNumId w:val="1"/>
  </w:num>
  <w:num w:numId="25" w16cid:durableId="1895845524">
    <w:abstractNumId w:val="20"/>
  </w:num>
  <w:num w:numId="26" w16cid:durableId="1555972442">
    <w:abstractNumId w:val="18"/>
  </w:num>
  <w:num w:numId="27" w16cid:durableId="403718896">
    <w:abstractNumId w:val="40"/>
  </w:num>
  <w:num w:numId="28" w16cid:durableId="646906577">
    <w:abstractNumId w:val="17"/>
  </w:num>
  <w:num w:numId="29" w16cid:durableId="1955747725">
    <w:abstractNumId w:val="23"/>
  </w:num>
  <w:num w:numId="30" w16cid:durableId="1584951422">
    <w:abstractNumId w:val="33"/>
  </w:num>
  <w:num w:numId="31" w16cid:durableId="488987305">
    <w:abstractNumId w:val="28"/>
  </w:num>
  <w:num w:numId="32" w16cid:durableId="379671963">
    <w:abstractNumId w:val="30"/>
  </w:num>
  <w:num w:numId="33" w16cid:durableId="1220821300">
    <w:abstractNumId w:val="13"/>
  </w:num>
  <w:num w:numId="34" w16cid:durableId="45302377">
    <w:abstractNumId w:val="7"/>
  </w:num>
  <w:num w:numId="35" w16cid:durableId="1249270375">
    <w:abstractNumId w:val="4"/>
  </w:num>
  <w:num w:numId="36" w16cid:durableId="2009287704">
    <w:abstractNumId w:val="38"/>
  </w:num>
  <w:num w:numId="37" w16cid:durableId="455099045">
    <w:abstractNumId w:val="26"/>
  </w:num>
  <w:num w:numId="38" w16cid:durableId="1649017834">
    <w:abstractNumId w:val="24"/>
  </w:num>
  <w:num w:numId="39" w16cid:durableId="2103648576">
    <w:abstractNumId w:val="8"/>
  </w:num>
  <w:num w:numId="40" w16cid:durableId="145320636">
    <w:abstractNumId w:val="22"/>
  </w:num>
  <w:num w:numId="41" w16cid:durableId="8310633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97"/>
    <w:rsid w:val="001D2397"/>
    <w:rsid w:val="005D3E57"/>
    <w:rsid w:val="00C23543"/>
    <w:rsid w:val="00E30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B3B0E7"/>
  <w15:chartTrackingRefBased/>
  <w15:docId w15:val="{EFAED53A-680E-AE4B-842F-B5624CEC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2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2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397"/>
    <w:rPr>
      <w:rFonts w:eastAsiaTheme="majorEastAsia" w:cstheme="majorBidi"/>
      <w:color w:val="272727" w:themeColor="text1" w:themeTint="D8"/>
    </w:rPr>
  </w:style>
  <w:style w:type="paragraph" w:styleId="Title">
    <w:name w:val="Title"/>
    <w:basedOn w:val="Normal"/>
    <w:next w:val="Normal"/>
    <w:link w:val="TitleChar"/>
    <w:uiPriority w:val="10"/>
    <w:qFormat/>
    <w:rsid w:val="001D2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397"/>
    <w:pPr>
      <w:spacing w:before="160"/>
      <w:jc w:val="center"/>
    </w:pPr>
    <w:rPr>
      <w:i/>
      <w:iCs/>
      <w:color w:val="404040" w:themeColor="text1" w:themeTint="BF"/>
    </w:rPr>
  </w:style>
  <w:style w:type="character" w:customStyle="1" w:styleId="QuoteChar">
    <w:name w:val="Quote Char"/>
    <w:basedOn w:val="DefaultParagraphFont"/>
    <w:link w:val="Quote"/>
    <w:uiPriority w:val="29"/>
    <w:rsid w:val="001D2397"/>
    <w:rPr>
      <w:i/>
      <w:iCs/>
      <w:color w:val="404040" w:themeColor="text1" w:themeTint="BF"/>
    </w:rPr>
  </w:style>
  <w:style w:type="paragraph" w:styleId="ListParagraph">
    <w:name w:val="List Paragraph"/>
    <w:basedOn w:val="Normal"/>
    <w:uiPriority w:val="34"/>
    <w:qFormat/>
    <w:rsid w:val="001D2397"/>
    <w:pPr>
      <w:ind w:left="720"/>
      <w:contextualSpacing/>
    </w:pPr>
  </w:style>
  <w:style w:type="character" w:styleId="IntenseEmphasis">
    <w:name w:val="Intense Emphasis"/>
    <w:basedOn w:val="DefaultParagraphFont"/>
    <w:uiPriority w:val="21"/>
    <w:qFormat/>
    <w:rsid w:val="001D2397"/>
    <w:rPr>
      <w:i/>
      <w:iCs/>
      <w:color w:val="0F4761" w:themeColor="accent1" w:themeShade="BF"/>
    </w:rPr>
  </w:style>
  <w:style w:type="paragraph" w:styleId="IntenseQuote">
    <w:name w:val="Intense Quote"/>
    <w:basedOn w:val="Normal"/>
    <w:next w:val="Normal"/>
    <w:link w:val="IntenseQuoteChar"/>
    <w:uiPriority w:val="30"/>
    <w:qFormat/>
    <w:rsid w:val="001D2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397"/>
    <w:rPr>
      <w:i/>
      <w:iCs/>
      <w:color w:val="0F4761" w:themeColor="accent1" w:themeShade="BF"/>
    </w:rPr>
  </w:style>
  <w:style w:type="character" w:styleId="IntenseReference">
    <w:name w:val="Intense Reference"/>
    <w:basedOn w:val="DefaultParagraphFont"/>
    <w:uiPriority w:val="32"/>
    <w:qFormat/>
    <w:rsid w:val="001D2397"/>
    <w:rPr>
      <w:b/>
      <w:bCs/>
      <w:smallCaps/>
      <w:color w:val="0F4761" w:themeColor="accent1" w:themeShade="BF"/>
      <w:spacing w:val="5"/>
    </w:rPr>
  </w:style>
  <w:style w:type="paragraph" w:styleId="Footer">
    <w:name w:val="footer"/>
    <w:basedOn w:val="Normal"/>
    <w:link w:val="FooterChar"/>
    <w:uiPriority w:val="99"/>
    <w:unhideWhenUsed/>
    <w:rsid w:val="001D2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397"/>
  </w:style>
  <w:style w:type="character" w:styleId="PageNumber">
    <w:name w:val="page number"/>
    <w:basedOn w:val="DefaultParagraphFont"/>
    <w:uiPriority w:val="99"/>
    <w:semiHidden/>
    <w:unhideWhenUsed/>
    <w:rsid w:val="001D2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651</Words>
  <Characters>4499</Characters>
  <Application>Microsoft Office Word</Application>
  <DocSecurity>0</DocSecurity>
  <Lines>97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Stewart</dc:creator>
  <cp:keywords/>
  <dc:description/>
  <cp:lastModifiedBy>Rob Stewart</cp:lastModifiedBy>
  <cp:revision>1</cp:revision>
  <dcterms:created xsi:type="dcterms:W3CDTF">2026-04-28T14:26:00Z</dcterms:created>
  <dcterms:modified xsi:type="dcterms:W3CDTF">2026-04-28T14:54:00Z</dcterms:modified>
</cp:coreProperties>
</file>