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3611A" w14:textId="77777777" w:rsidR="008568AA" w:rsidRDefault="00000000">
      <w:pPr>
        <w:pStyle w:val="MdHeading1"/>
      </w:pPr>
      <w:r>
        <w:t>Tokenization + Real Estate = Cure for the Shortfall for Rental Housing</w:t>
      </w:r>
    </w:p>
    <w:p w14:paraId="74E105A6" w14:textId="1BC60C5B" w:rsidR="008568AA" w:rsidRDefault="00FD209D">
      <w:pPr>
        <w:pStyle w:val="MdHeading2"/>
      </w:pPr>
      <w:r>
        <w:t>May</w:t>
      </w:r>
      <w:r w:rsidR="00000000">
        <w:t xml:space="preserve"> 2026 | Housing Market Insights Newsletter</w:t>
      </w:r>
    </w:p>
    <w:p w14:paraId="7A74DE15" w14:textId="77777777" w:rsidR="00FD209D" w:rsidRDefault="00FD209D" w:rsidP="00FD209D">
      <w:pPr>
        <w:pStyle w:val="ListParagraph"/>
      </w:pPr>
    </w:p>
    <w:p w14:paraId="57AF2DF9" w14:textId="6B42BDB6" w:rsidR="00FD209D" w:rsidRPr="00FD209D" w:rsidRDefault="00FD209D" w:rsidP="00FD209D">
      <w:pPr>
        <w:pStyle w:val="ListParagraph"/>
      </w:pPr>
      <w:r w:rsidRPr="00FD209D">
        <w:t>By: Robert S. Stewart, Jr. CEO</w:t>
      </w:r>
    </w:p>
    <w:p w14:paraId="034B3859" w14:textId="3EB97D71" w:rsidR="00FD209D" w:rsidRPr="00FD209D" w:rsidRDefault="00FD209D" w:rsidP="00FD209D">
      <w:pPr>
        <w:pStyle w:val="ListParagraph"/>
      </w:pPr>
      <w:r w:rsidRPr="00FD209D">
        <w:t>CR Equity Ai</w:t>
      </w:r>
    </w:p>
    <w:p w14:paraId="51528F64" w14:textId="4C88E086" w:rsidR="00FD209D" w:rsidRPr="00FD209D" w:rsidRDefault="00FD209D" w:rsidP="00FD209D">
      <w:pPr>
        <w:pStyle w:val="ListParagraph"/>
      </w:pPr>
      <w:r w:rsidRPr="00FD209D">
        <w:t>www.crequity.ai</w:t>
      </w:r>
    </w:p>
    <w:p w14:paraId="34953B99" w14:textId="77777777" w:rsidR="008568AA" w:rsidRDefault="008568AA">
      <w:pPr>
        <w:pStyle w:val="MdSpace"/>
        <w:spacing w:after="60"/>
      </w:pPr>
    </w:p>
    <w:p w14:paraId="5C1C3A51" w14:textId="77777777" w:rsidR="008568AA" w:rsidRDefault="00000000">
      <w:pPr>
        <w:pStyle w:val="MdHeading2"/>
      </w:pPr>
      <w:r>
        <w:t>Executive Summary</w:t>
      </w:r>
    </w:p>
    <w:p w14:paraId="41F6182E" w14:textId="77777777" w:rsidR="008568AA" w:rsidRDefault="00000000">
      <w:pPr>
        <w:pStyle w:val="MdParagraph"/>
      </w:pPr>
      <w:r>
        <w:t xml:space="preserve">The United States is experiencing a fundamental structural shift in its housing market. What was once viewed as a cyclical preference has crystallized into a durable era of </w:t>
      </w:r>
      <w:proofErr w:type="spellStart"/>
      <w:r>
        <w:t>rentership</w:t>
      </w:r>
      <w:proofErr w:type="spellEnd"/>
      <w:r>
        <w:t>, driven by economic realities that make renting an increasingly efficient and strategic choice for millions of households. As this transformation unfolds, innovative solutions like real estate tokenization emerge as a critical mechanism to address the persistent shortage of quality rental housing and unlock capital for the multifamily sector.</w:t>
      </w:r>
    </w:p>
    <w:p w14:paraId="190A85FD" w14:textId="77777777" w:rsidR="008568AA" w:rsidRDefault="008568AA">
      <w:pPr>
        <w:pStyle w:val="MdSpace"/>
        <w:spacing w:after="60"/>
      </w:pPr>
    </w:p>
    <w:p w14:paraId="43C2F641" w14:textId="77777777" w:rsidR="008568AA" w:rsidRDefault="008568AA">
      <w:pPr>
        <w:pStyle w:val="MdHr"/>
        <w:pBdr>
          <w:bottom w:val="single" w:sz="6" w:space="1" w:color="auto"/>
        </w:pBdr>
      </w:pPr>
    </w:p>
    <w:p w14:paraId="296DF00F" w14:textId="77777777" w:rsidR="008568AA" w:rsidRDefault="008568AA">
      <w:pPr>
        <w:pStyle w:val="MdSpace"/>
        <w:spacing w:after="60"/>
      </w:pPr>
    </w:p>
    <w:p w14:paraId="799F3E1F" w14:textId="77777777" w:rsidR="008568AA" w:rsidRDefault="00000000">
      <w:pPr>
        <w:pStyle w:val="MdHeading2"/>
      </w:pPr>
      <w:r>
        <w:t xml:space="preserve">The </w:t>
      </w:r>
      <w:proofErr w:type="spellStart"/>
      <w:r>
        <w:t>Rentership</w:t>
      </w:r>
      <w:proofErr w:type="spellEnd"/>
      <w:r>
        <w:t xml:space="preserve"> Era Is Here to Stay</w:t>
      </w:r>
    </w:p>
    <w:p w14:paraId="6D1F20D2" w14:textId="77777777" w:rsidR="008568AA" w:rsidRDefault="00000000">
      <w:pPr>
        <w:pStyle w:val="MdParagraph"/>
      </w:pPr>
      <w:r>
        <w:t xml:space="preserve">For decades, homeownership was positioned as the ultimate expression of the American dream. However, the post-2008 housing landscape fundamentally altered this calculus. Today, we are witnessing a structural—not cyclical—shift toward </w:t>
      </w:r>
      <w:proofErr w:type="spellStart"/>
      <w:r>
        <w:t>rentership</w:t>
      </w:r>
      <w:proofErr w:type="spellEnd"/>
      <w:r>
        <w:t xml:space="preserve"> that reflects profound changes in both housing economics and lifestyle preferences </w:t>
      </w:r>
      <w:hyperlink r:id="rId7" w:history="1">
        <w:r>
          <w:rPr>
            <w:rStyle w:val="MdLink"/>
          </w:rPr>
          <w:t>1</w:t>
        </w:r>
      </w:hyperlink>
      <w:r>
        <w:t>.</w:t>
      </w:r>
    </w:p>
    <w:p w14:paraId="5E3B1857" w14:textId="77777777" w:rsidR="008568AA" w:rsidRDefault="008568AA">
      <w:pPr>
        <w:pStyle w:val="MdSpace"/>
        <w:spacing w:after="60"/>
      </w:pPr>
    </w:p>
    <w:p w14:paraId="1C21ABC8" w14:textId="77777777" w:rsidR="008568AA" w:rsidRDefault="00000000">
      <w:pPr>
        <w:pStyle w:val="MdParagraph"/>
      </w:pPr>
      <w:r>
        <w:t xml:space="preserve">The data is compelling. </w:t>
      </w:r>
      <w:r>
        <w:rPr>
          <w:rStyle w:val="MdStrong"/>
        </w:rPr>
        <w:t>The rent-versus-own equation has become increasingly unfavorable for homebuyers.</w:t>
      </w:r>
      <w:r>
        <w:t xml:space="preserve"> While home price appreciation has moderated, the all-in cost of ownership remains historically elevated. Mortgage payments, property insurance, property taxes, and ongoing maintenance expenses continue climbing, even as rental pricing has normalized following recent supply additions to the market </w:t>
      </w:r>
      <w:hyperlink r:id="rId8" w:history="1">
        <w:r>
          <w:rPr>
            <w:rStyle w:val="MdLink"/>
          </w:rPr>
          <w:t>1</w:t>
        </w:r>
      </w:hyperlink>
      <w:r>
        <w:t>. For many households, the financial mathematics are straightforward: renting provides superior economic value and greater flexibility.</w:t>
      </w:r>
    </w:p>
    <w:p w14:paraId="52C7D9E4" w14:textId="77777777" w:rsidR="008568AA" w:rsidRDefault="008568AA">
      <w:pPr>
        <w:pStyle w:val="MdSpace"/>
        <w:spacing w:after="60"/>
      </w:pPr>
    </w:p>
    <w:p w14:paraId="57FEEF8C" w14:textId="77777777" w:rsidR="008568AA" w:rsidRDefault="00000000">
      <w:pPr>
        <w:pStyle w:val="MdParagraph"/>
      </w:pPr>
      <w:r>
        <w:t xml:space="preserve">This shift is not merely driven by affordability pressures. The quality and availability of rental housing have materially improved, creating a compelling value proposition that extends beyond financial considerations. For households navigating uncertain labor markets, experiencing delayed family formation, or requiring geographic mobility for career advancement, rental housing increasingly aligns with both practical realities and lifestyle preferences rather than serving as a temporary accommodation </w:t>
      </w:r>
      <w:hyperlink r:id="rId9" w:history="1">
        <w:r>
          <w:rPr>
            <w:rStyle w:val="MdLink"/>
          </w:rPr>
          <w:t>1</w:t>
        </w:r>
      </w:hyperlink>
      <w:r>
        <w:t>.</w:t>
      </w:r>
    </w:p>
    <w:p w14:paraId="6A38A107" w14:textId="77777777" w:rsidR="008568AA" w:rsidRDefault="008568AA">
      <w:pPr>
        <w:pStyle w:val="MdSpace"/>
        <w:spacing w:after="60"/>
      </w:pPr>
    </w:p>
    <w:p w14:paraId="19867B36" w14:textId="77777777" w:rsidR="008568AA" w:rsidRDefault="00000000">
      <w:pPr>
        <w:pStyle w:val="MdBlockquote"/>
      </w:pPr>
      <w:r>
        <w:t>"</w:t>
      </w:r>
      <w:proofErr w:type="spellStart"/>
      <w:r>
        <w:t>Rentership</w:t>
      </w:r>
      <w:proofErr w:type="spellEnd"/>
      <w:r>
        <w:t xml:space="preserve"> is increasingly structural, not cyclical. The rent-versus-own calculus remains unfavorable for many households, reinforcing rental tenure as a durable component of the U.S. housing system." </w:t>
      </w:r>
      <w:hyperlink r:id="rId10" w:history="1">
        <w:r>
          <w:rPr>
            <w:rStyle w:val="MdLink"/>
          </w:rPr>
          <w:t>1</w:t>
        </w:r>
      </w:hyperlink>
    </w:p>
    <w:p w14:paraId="57318F26" w14:textId="77777777" w:rsidR="008568AA" w:rsidRDefault="008568AA">
      <w:pPr>
        <w:pStyle w:val="MdSpace"/>
        <w:spacing w:after="60"/>
      </w:pPr>
    </w:p>
    <w:p w14:paraId="234D780D" w14:textId="77777777" w:rsidR="008568AA" w:rsidRDefault="008568AA">
      <w:pPr>
        <w:pStyle w:val="MdHr"/>
        <w:pBdr>
          <w:bottom w:val="single" w:sz="6" w:space="1" w:color="auto"/>
        </w:pBdr>
      </w:pPr>
    </w:p>
    <w:p w14:paraId="6E035CFE" w14:textId="77777777" w:rsidR="008568AA" w:rsidRDefault="008568AA">
      <w:pPr>
        <w:pStyle w:val="MdSpace"/>
        <w:spacing w:after="60"/>
      </w:pPr>
    </w:p>
    <w:p w14:paraId="1213670D" w14:textId="77777777" w:rsidR="008568AA" w:rsidRDefault="00000000">
      <w:pPr>
        <w:pStyle w:val="MdHeading2"/>
      </w:pPr>
      <w:r>
        <w:t>Multifamily Market Rebalancing</w:t>
      </w:r>
    </w:p>
    <w:p w14:paraId="0D650B0F" w14:textId="77777777" w:rsidR="008568AA" w:rsidRDefault="00000000">
      <w:pPr>
        <w:pStyle w:val="MdParagraph"/>
      </w:pPr>
      <w:r>
        <w:t xml:space="preserve">The multifamily sector is currently navigating a critical transition period. After absorbing a significant wave of late-cycle deliveries, select markets experienced elevated supply levels that temporarily weighed on rent growth and increased concessions to attract tenants </w:t>
      </w:r>
      <w:hyperlink r:id="rId11" w:history="1">
        <w:r>
          <w:rPr>
            <w:rStyle w:val="MdLink"/>
          </w:rPr>
          <w:t>1</w:t>
        </w:r>
      </w:hyperlink>
      <w:r>
        <w:t>. However, this period of adjustment is playing an essential role—it is allowing households to access higher-quality rental options while enabling markets to absorb new inventory without undermining long-term fundamentals.</w:t>
      </w:r>
    </w:p>
    <w:p w14:paraId="7865EDCD" w14:textId="77777777" w:rsidR="008568AA" w:rsidRDefault="008568AA">
      <w:pPr>
        <w:pStyle w:val="MdSpace"/>
        <w:spacing w:after="60"/>
      </w:pPr>
    </w:p>
    <w:p w14:paraId="7960C9E1" w14:textId="77777777" w:rsidR="008568AA" w:rsidRDefault="00000000">
      <w:pPr>
        <w:pStyle w:val="MdParagraph"/>
      </w:pPr>
      <w:r>
        <w:t xml:space="preserve">Encouragingly, construction pipelines are thinning meaningfully as higher construction costs and tightened capital conditions have reduced the feasibility of many new developments. </w:t>
      </w:r>
      <w:r>
        <w:rPr>
          <w:rStyle w:val="MdStrong"/>
        </w:rPr>
        <w:t>This deceleration in supply growth, combined with sustained rental demand driven by both economic and lifestyle considerations, is creating the conditions for gradual market rebalancing</w:t>
      </w:r>
      <w:r>
        <w:t xml:space="preserve"> </w:t>
      </w:r>
      <w:hyperlink r:id="rId12" w:history="1">
        <w:r>
          <w:rPr>
            <w:rStyle w:val="MdLink"/>
          </w:rPr>
          <w:t>1</w:t>
        </w:r>
      </w:hyperlink>
      <w:r>
        <w:t>. The outlook for forward supply conditions is improving, and market-level differentiation is emerging as an attractive window for disciplined capital deployment.</w:t>
      </w:r>
    </w:p>
    <w:p w14:paraId="112DB90C" w14:textId="77777777" w:rsidR="008568AA" w:rsidRDefault="008568AA">
      <w:pPr>
        <w:pStyle w:val="MdSpace"/>
        <w:spacing w:after="60"/>
      </w:pPr>
    </w:p>
    <w:p w14:paraId="2220C206" w14:textId="77777777" w:rsidR="008568AA" w:rsidRDefault="008568AA">
      <w:pPr>
        <w:pStyle w:val="MdHr"/>
        <w:pBdr>
          <w:bottom w:val="single" w:sz="6" w:space="1" w:color="auto"/>
        </w:pBdr>
      </w:pPr>
    </w:p>
    <w:p w14:paraId="5DC030A7" w14:textId="77777777" w:rsidR="008568AA" w:rsidRDefault="008568AA">
      <w:pPr>
        <w:pStyle w:val="MdSpace"/>
        <w:spacing w:after="60"/>
      </w:pPr>
    </w:p>
    <w:p w14:paraId="311753A8" w14:textId="77777777" w:rsidR="008568AA" w:rsidRDefault="00000000">
      <w:pPr>
        <w:pStyle w:val="MdHeading2"/>
      </w:pPr>
      <w:r>
        <w:t>The Capital Challenge: Where Tokenization Enters</w:t>
      </w:r>
    </w:p>
    <w:p w14:paraId="66F11777" w14:textId="77777777" w:rsidR="008568AA" w:rsidRDefault="00000000">
      <w:pPr>
        <w:pStyle w:val="MdParagraph"/>
      </w:pPr>
      <w:r>
        <w:t xml:space="preserve">Despite the positive long-term outlook for multifamily fundamentals, the sector faces a significant capital constraint. The traditional financing mechanisms for rental housing development have become more challenging, with tighter lending conditions and elevated interest rates pressuring development feasibility </w:t>
      </w:r>
      <w:hyperlink r:id="rId13" w:history="1">
        <w:r>
          <w:rPr>
            <w:rStyle w:val="MdLink"/>
          </w:rPr>
          <w:t>1</w:t>
        </w:r>
      </w:hyperlink>
      <w:r>
        <w:t>. This creates a critical gap: robust demand for quality rental housing exists, but the traditional capital markets have not kept pace in providing efficient financing solutions.</w:t>
      </w:r>
    </w:p>
    <w:p w14:paraId="4A1E1C5A" w14:textId="77777777" w:rsidR="008568AA" w:rsidRDefault="008568AA">
      <w:pPr>
        <w:pStyle w:val="MdSpace"/>
        <w:spacing w:after="60"/>
      </w:pPr>
    </w:p>
    <w:p w14:paraId="003286A9" w14:textId="77777777" w:rsidR="008568AA" w:rsidRDefault="00000000">
      <w:pPr>
        <w:pStyle w:val="MdParagraph"/>
      </w:pPr>
      <w:r>
        <w:t xml:space="preserve">This is where </w:t>
      </w:r>
      <w:r>
        <w:rPr>
          <w:rStyle w:val="MdStrong"/>
        </w:rPr>
        <w:t>real estate tokenization represents a transformative opportunity.</w:t>
      </w:r>
      <w:r>
        <w:t xml:space="preserve"> Tokenization—the process of converting real estate assets into digital tokens on blockchain platforms—offers multiple benefits that directly address current market challenges:</w:t>
      </w:r>
    </w:p>
    <w:p w14:paraId="2D64AC54" w14:textId="77777777" w:rsidR="008568AA" w:rsidRDefault="008568AA">
      <w:pPr>
        <w:pStyle w:val="MdSpace"/>
        <w:spacing w:after="60"/>
      </w:pPr>
    </w:p>
    <w:p w14:paraId="0A33EF6F" w14:textId="77777777" w:rsidR="008568AA" w:rsidRDefault="00000000">
      <w:pPr>
        <w:pStyle w:val="MdParagraph"/>
      </w:pPr>
      <w:r>
        <w:rPr>
          <w:rStyle w:val="MdStrong"/>
        </w:rPr>
        <w:t>Democratized Capital Access:</w:t>
      </w:r>
      <w:r>
        <w:t xml:space="preserve"> Tokenization enables institutional and individual investors to participate in multifamily development and acquisition with significantly lower minimum investment thresholds. Rather than requiring multi-</w:t>
      </w:r>
      <w:proofErr w:type="gramStart"/>
      <w:r>
        <w:t>million dollar</w:t>
      </w:r>
      <w:proofErr w:type="gramEnd"/>
      <w:r>
        <w:t xml:space="preserve"> commitments to traditional real estate funds, investors can acquire fractional ownership stakes in rental housing assets. </w:t>
      </w:r>
      <w:r>
        <w:lastRenderedPageBreak/>
        <w:t>This democratization expands the investor base and unlocks trillions of dollars in untapped capital currently sidelined from traditional real estate markets.</w:t>
      </w:r>
    </w:p>
    <w:p w14:paraId="057519D1" w14:textId="77777777" w:rsidR="008568AA" w:rsidRDefault="008568AA">
      <w:pPr>
        <w:pStyle w:val="MdSpace"/>
        <w:spacing w:after="60"/>
      </w:pPr>
    </w:p>
    <w:p w14:paraId="786C2C02" w14:textId="77777777" w:rsidR="008568AA" w:rsidRDefault="00000000">
      <w:pPr>
        <w:pStyle w:val="MdParagraph"/>
      </w:pPr>
      <w:r>
        <w:rPr>
          <w:rStyle w:val="MdStrong"/>
        </w:rPr>
        <w:t>Improved Liquidity:</w:t>
      </w:r>
      <w:r>
        <w:t xml:space="preserve"> Traditional real estate investments are illiquid, with extended lock-up periods and lengthy exit processes. Tokenized real estate assets can be traded on secondary markets, providing investors with greater flexibility to rebalance portfolios or access capital when needed. Enhanced liquidity improves capital efficiency and reduces the cost of capital for developers and operators.</w:t>
      </w:r>
    </w:p>
    <w:p w14:paraId="68E134B2" w14:textId="77777777" w:rsidR="008568AA" w:rsidRDefault="008568AA">
      <w:pPr>
        <w:pStyle w:val="MdSpace"/>
        <w:spacing w:after="60"/>
      </w:pPr>
    </w:p>
    <w:p w14:paraId="22AF8721" w14:textId="77777777" w:rsidR="008568AA" w:rsidRDefault="00000000">
      <w:pPr>
        <w:pStyle w:val="MdParagraph"/>
      </w:pPr>
      <w:r>
        <w:rPr>
          <w:rStyle w:val="MdStrong"/>
        </w:rPr>
        <w:t>Streamlined Transactions:</w:t>
      </w:r>
      <w:r>
        <w:t xml:space="preserve"> Blockchain-based settlement eliminates intermediaries and reduces transaction friction, lowering costs and accelerating deal timelines. What traditionally requires weeks or months of legal and financial processing can be accomplished in days, reducing overhead and enabling faster capital deployment.</w:t>
      </w:r>
    </w:p>
    <w:p w14:paraId="42DFB722" w14:textId="77777777" w:rsidR="008568AA" w:rsidRDefault="008568AA">
      <w:pPr>
        <w:pStyle w:val="MdSpace"/>
        <w:spacing w:after="60"/>
      </w:pPr>
    </w:p>
    <w:p w14:paraId="1B816B65" w14:textId="77777777" w:rsidR="008568AA" w:rsidRDefault="00000000">
      <w:pPr>
        <w:pStyle w:val="MdParagraph"/>
      </w:pPr>
      <w:r>
        <w:rPr>
          <w:rStyle w:val="MdStrong"/>
        </w:rPr>
        <w:t>Transparent Performance Tracking:</w:t>
      </w:r>
      <w:r>
        <w:t xml:space="preserve"> Tokenized platforms enable real-time performance monitoring and verified data accessibility. Investors gain immediate visibility into occupancy rates, rental revenue, operating expenses, and capital deployment—creating trust and attracting institutional capital that demands transparency.</w:t>
      </w:r>
    </w:p>
    <w:p w14:paraId="4F01C593" w14:textId="77777777" w:rsidR="008568AA" w:rsidRDefault="008568AA">
      <w:pPr>
        <w:pStyle w:val="MdSpace"/>
        <w:spacing w:after="60"/>
      </w:pPr>
    </w:p>
    <w:p w14:paraId="120587F9" w14:textId="77777777" w:rsidR="008568AA" w:rsidRDefault="00000000">
      <w:pPr>
        <w:pStyle w:val="MdParagraph"/>
      </w:pPr>
      <w:r>
        <w:rPr>
          <w:rStyle w:val="MdStrong"/>
        </w:rPr>
        <w:t>Global Capital Access:</w:t>
      </w:r>
      <w:r>
        <w:t xml:space="preserve"> Tokenization enables international investors to access U.S. multifamily opportunities without the legal and logistical complexities that traditionally limit cross-border real estate investment. This globally distributed capital base accelerates funding for rental housing development.</w:t>
      </w:r>
    </w:p>
    <w:p w14:paraId="793E20B0" w14:textId="77777777" w:rsidR="008568AA" w:rsidRDefault="008568AA">
      <w:pPr>
        <w:pStyle w:val="MdSpace"/>
        <w:spacing w:after="60"/>
      </w:pPr>
    </w:p>
    <w:p w14:paraId="5F78F9D8" w14:textId="77777777" w:rsidR="008568AA" w:rsidRDefault="008568AA">
      <w:pPr>
        <w:pStyle w:val="MdHr"/>
        <w:pBdr>
          <w:bottom w:val="single" w:sz="6" w:space="1" w:color="auto"/>
        </w:pBdr>
      </w:pPr>
    </w:p>
    <w:p w14:paraId="3F15C1B0" w14:textId="77777777" w:rsidR="008568AA" w:rsidRDefault="008568AA">
      <w:pPr>
        <w:pStyle w:val="MdSpace"/>
        <w:spacing w:after="60"/>
      </w:pPr>
    </w:p>
    <w:p w14:paraId="40B45E32" w14:textId="77777777" w:rsidR="008568AA" w:rsidRDefault="00000000">
      <w:pPr>
        <w:pStyle w:val="MdHeading2"/>
      </w:pPr>
      <w:r>
        <w:t>Addressing the Rental Housing Shortage</w:t>
      </w:r>
    </w:p>
    <w:p w14:paraId="628E7529" w14:textId="77777777" w:rsidR="008568AA" w:rsidRDefault="00000000">
      <w:pPr>
        <w:pStyle w:val="MdParagraph"/>
      </w:pPr>
      <w:r>
        <w:t xml:space="preserve">The United States faces a substantial shortage of quality rental housing relative to demand, particularly in high-growth metropolitan areas. This undersupply contributes to affordability pressures and limits housing options for renters across income spectrums </w:t>
      </w:r>
      <w:hyperlink r:id="rId14" w:history="1">
        <w:r>
          <w:rPr>
            <w:rStyle w:val="MdLink"/>
          </w:rPr>
          <w:t>1</w:t>
        </w:r>
      </w:hyperlink>
      <w:r>
        <w:t>. The multifamily sector has been gradually working to address this shortage through new construction, but capital constraints and development economics have limited the pace of supply additions.</w:t>
      </w:r>
    </w:p>
    <w:p w14:paraId="0E318D4D" w14:textId="77777777" w:rsidR="008568AA" w:rsidRDefault="008568AA">
      <w:pPr>
        <w:pStyle w:val="MdSpace"/>
        <w:spacing w:after="60"/>
      </w:pPr>
    </w:p>
    <w:p w14:paraId="1E066990" w14:textId="77777777" w:rsidR="008568AA" w:rsidRDefault="00000000">
      <w:pPr>
        <w:pStyle w:val="MdParagraph"/>
      </w:pPr>
      <w:r>
        <w:t>By lowering barriers to capital participation, tokenization can meaningfully accelerate investment in new multifamily development and acquisition of existing assets for quality upgrades. When capital flows more efficiently and reaches markets that traditional finance overlooks, supply constraints ease and renters benefit through:</w:t>
      </w:r>
    </w:p>
    <w:p w14:paraId="770C81B1" w14:textId="77777777" w:rsidR="008568AA" w:rsidRDefault="008568AA">
      <w:pPr>
        <w:pStyle w:val="MdSpace"/>
        <w:spacing w:after="60"/>
      </w:pPr>
    </w:p>
    <w:p w14:paraId="35D84EF9" w14:textId="77777777" w:rsidR="008568AA" w:rsidRDefault="00000000">
      <w:pPr>
        <w:pStyle w:val="MdListItem"/>
        <w:numPr>
          <w:ilvl w:val="0"/>
          <w:numId w:val="2"/>
        </w:numPr>
      </w:pPr>
      <w:r>
        <w:rPr>
          <w:rStyle w:val="MdStrong"/>
        </w:rPr>
        <w:t>Expanded housing choices</w:t>
      </w:r>
      <w:r>
        <w:t xml:space="preserve"> in supply-constrained markets</w:t>
      </w:r>
    </w:p>
    <w:p w14:paraId="465A810C" w14:textId="77777777" w:rsidR="008568AA" w:rsidRDefault="00000000">
      <w:pPr>
        <w:pStyle w:val="MdListItem"/>
        <w:numPr>
          <w:ilvl w:val="0"/>
          <w:numId w:val="2"/>
        </w:numPr>
      </w:pPr>
      <w:r>
        <w:rPr>
          <w:rStyle w:val="MdStrong"/>
        </w:rPr>
        <w:t>Improved quality and amenities</w:t>
      </w:r>
      <w:r>
        <w:t xml:space="preserve"> as upgraded properties enter the rental market</w:t>
      </w:r>
    </w:p>
    <w:p w14:paraId="191573FE" w14:textId="77777777" w:rsidR="008568AA" w:rsidRDefault="00000000">
      <w:pPr>
        <w:pStyle w:val="MdListItem"/>
        <w:numPr>
          <w:ilvl w:val="0"/>
          <w:numId w:val="2"/>
        </w:numPr>
      </w:pPr>
      <w:r>
        <w:rPr>
          <w:rStyle w:val="MdStrong"/>
        </w:rPr>
        <w:t>Greater affordability</w:t>
      </w:r>
      <w:r>
        <w:t xml:space="preserve"> as supply normalization reduces pressure on rents</w:t>
      </w:r>
    </w:p>
    <w:p w14:paraId="670F8773" w14:textId="77777777" w:rsidR="008568AA" w:rsidRDefault="00000000">
      <w:pPr>
        <w:pStyle w:val="MdListItem"/>
        <w:numPr>
          <w:ilvl w:val="0"/>
          <w:numId w:val="2"/>
        </w:numPr>
      </w:pPr>
      <w:r>
        <w:rPr>
          <w:rStyle w:val="MdStrong"/>
        </w:rPr>
        <w:t>Economic efficiency</w:t>
      </w:r>
      <w:r>
        <w:t xml:space="preserve"> as capital deploys to its highest and best use</w:t>
      </w:r>
    </w:p>
    <w:p w14:paraId="59CC3F1C" w14:textId="77777777" w:rsidR="008568AA" w:rsidRDefault="008568AA">
      <w:pPr>
        <w:pStyle w:val="MdSpace"/>
        <w:spacing w:after="60"/>
      </w:pPr>
    </w:p>
    <w:p w14:paraId="0B9E0A70" w14:textId="77777777" w:rsidR="008568AA" w:rsidRDefault="008568AA">
      <w:pPr>
        <w:pStyle w:val="MdHr"/>
        <w:pBdr>
          <w:bottom w:val="single" w:sz="6" w:space="1" w:color="auto"/>
        </w:pBdr>
      </w:pPr>
    </w:p>
    <w:p w14:paraId="4903286E" w14:textId="77777777" w:rsidR="008568AA" w:rsidRDefault="008568AA">
      <w:pPr>
        <w:pStyle w:val="MdSpace"/>
        <w:spacing w:after="60"/>
      </w:pPr>
    </w:p>
    <w:p w14:paraId="1932D137" w14:textId="77777777" w:rsidR="008568AA" w:rsidRDefault="00000000">
      <w:pPr>
        <w:pStyle w:val="MdHeading2"/>
      </w:pPr>
      <w:r>
        <w:t>The Path Forward: An Attractive Investment Window</w:t>
      </w:r>
    </w:p>
    <w:p w14:paraId="4D90E8DF" w14:textId="77777777" w:rsidR="008568AA" w:rsidRDefault="00000000">
      <w:pPr>
        <w:pStyle w:val="MdParagraph"/>
      </w:pPr>
      <w:r>
        <w:t xml:space="preserve">We are entering a critical moment for multifamily investment. </w:t>
      </w:r>
      <w:r>
        <w:rPr>
          <w:rStyle w:val="MdStrong"/>
        </w:rPr>
        <w:t>Multifamily pricing has adjusted, cap rates appear more stable, and visibility into forward supply conditions is improving</w:t>
      </w:r>
      <w:r>
        <w:t xml:space="preserve"> </w:t>
      </w:r>
      <w:hyperlink r:id="rId15" w:history="1">
        <w:r>
          <w:rPr>
            <w:rStyle w:val="MdLink"/>
          </w:rPr>
          <w:t>1</w:t>
        </w:r>
      </w:hyperlink>
      <w:r>
        <w:t>. This convergence creates an unusually attractive window for disciplined capital deployment over the coming years.</w:t>
      </w:r>
    </w:p>
    <w:p w14:paraId="4B428E33" w14:textId="77777777" w:rsidR="008568AA" w:rsidRDefault="008568AA">
      <w:pPr>
        <w:pStyle w:val="MdSpace"/>
        <w:spacing w:after="60"/>
      </w:pPr>
    </w:p>
    <w:p w14:paraId="5356168A" w14:textId="77777777" w:rsidR="008568AA" w:rsidRDefault="00000000">
      <w:pPr>
        <w:pStyle w:val="MdParagraph"/>
      </w:pPr>
      <w:r>
        <w:t xml:space="preserve">For investors, venture capitalists, and financial innovators, tokenization represents more than a technological novelty—it is a foundational mechanism for addressing housing market inefficiencies. By combining the structural demand for </w:t>
      </w:r>
      <w:proofErr w:type="spellStart"/>
      <w:r>
        <w:t>rentership</w:t>
      </w:r>
      <w:proofErr w:type="spellEnd"/>
      <w:r>
        <w:t xml:space="preserve"> with improved capital access via tokenization, the multifamily sector can accelerate the supply response and better serve millions of American renters.</w:t>
      </w:r>
    </w:p>
    <w:p w14:paraId="28AB8812" w14:textId="77777777" w:rsidR="008568AA" w:rsidRDefault="008568AA">
      <w:pPr>
        <w:pStyle w:val="MdSpace"/>
        <w:spacing w:after="60"/>
      </w:pPr>
    </w:p>
    <w:p w14:paraId="578FEF82" w14:textId="77777777" w:rsidR="008568AA" w:rsidRDefault="00000000">
      <w:pPr>
        <w:pStyle w:val="MdParagraph"/>
      </w:pPr>
      <w:r>
        <w:t xml:space="preserve">The opportunity is clear: the market has entered a new era of </w:t>
      </w:r>
      <w:proofErr w:type="spellStart"/>
      <w:r>
        <w:t>rentership</w:t>
      </w:r>
      <w:proofErr w:type="spellEnd"/>
      <w:r>
        <w:t>, capital is seeking opportunities, and tokenization provides the infrastructure to connect them. For real estate professionals, financial innovators, and policymakers committed to addressing housing challenges, this intersection of market conditions and technological enablement represents a genuine path toward alleviating the rental housing shortage.</w:t>
      </w:r>
    </w:p>
    <w:p w14:paraId="47E42751" w14:textId="77777777" w:rsidR="008568AA" w:rsidRDefault="008568AA">
      <w:pPr>
        <w:pStyle w:val="MdSpace"/>
        <w:spacing w:after="60"/>
      </w:pPr>
    </w:p>
    <w:p w14:paraId="16C52725" w14:textId="77777777" w:rsidR="008568AA" w:rsidRDefault="008568AA">
      <w:pPr>
        <w:pStyle w:val="MdHr"/>
        <w:pBdr>
          <w:bottom w:val="single" w:sz="6" w:space="1" w:color="auto"/>
        </w:pBdr>
      </w:pPr>
    </w:p>
    <w:p w14:paraId="247B6C51" w14:textId="77777777" w:rsidR="008568AA" w:rsidRDefault="008568AA">
      <w:pPr>
        <w:pStyle w:val="MdSpace"/>
        <w:spacing w:after="60"/>
      </w:pPr>
    </w:p>
    <w:p w14:paraId="2DF729E8" w14:textId="77777777" w:rsidR="008568AA" w:rsidRDefault="00000000">
      <w:pPr>
        <w:pStyle w:val="MdHeading2"/>
      </w:pPr>
      <w:r>
        <w:t>Key Takeaways</w:t>
      </w:r>
    </w:p>
    <w:tbl>
      <w:tblPr>
        <w:tblW w:w="5000" w:type="pct"/>
        <w:tblBorders>
          <w:top w:val="single" w:sz="4" w:space="0" w:color="E1E4E8"/>
          <w:bottom w:val="single" w:sz="4" w:space="0" w:color="E1E4E8"/>
          <w:insideH w:val="single" w:sz="2" w:space="0" w:color="E1E4E8"/>
          <w:insideV w:val="single" w:sz="2" w:space="0" w:color="F6F8FA"/>
        </w:tblBorders>
        <w:tblCellMar>
          <w:left w:w="10" w:type="dxa"/>
          <w:right w:w="10" w:type="dxa"/>
        </w:tblCellMar>
        <w:tblLook w:val="04A0" w:firstRow="1" w:lastRow="0" w:firstColumn="1" w:lastColumn="0" w:noHBand="0" w:noVBand="1"/>
      </w:tblPr>
      <w:tblGrid>
        <w:gridCol w:w="2478"/>
        <w:gridCol w:w="6548"/>
      </w:tblGrid>
      <w:tr w:rsidR="008568AA" w14:paraId="1FAE405D" w14:textId="77777777">
        <w:tblPrEx>
          <w:tblCellMar>
            <w:top w:w="0" w:type="dxa"/>
            <w:bottom w:w="0" w:type="dxa"/>
          </w:tblCellMar>
        </w:tblPrEx>
        <w:trPr>
          <w:cantSplit/>
          <w:trHeight w:val="720"/>
          <w:tblHeader/>
        </w:trPr>
        <w:tc>
          <w:tcPr>
            <w:tcW w:w="0" w:type="auto"/>
            <w:tcMar>
              <w:top w:w="100" w:type="dxa"/>
              <w:left w:w="120" w:type="dxa"/>
              <w:bottom w:w="100" w:type="dxa"/>
              <w:right w:w="120" w:type="dxa"/>
            </w:tcMar>
            <w:vAlign w:val="center"/>
          </w:tcPr>
          <w:p w14:paraId="7E0F71E2" w14:textId="77777777" w:rsidR="008568AA" w:rsidRDefault="00000000">
            <w:pPr>
              <w:pStyle w:val="MdTableHeader"/>
            </w:pPr>
            <w:r>
              <w:t>Factor</w:t>
            </w:r>
          </w:p>
        </w:tc>
        <w:tc>
          <w:tcPr>
            <w:tcW w:w="0" w:type="auto"/>
            <w:tcMar>
              <w:top w:w="100" w:type="dxa"/>
              <w:left w:w="120" w:type="dxa"/>
              <w:bottom w:w="100" w:type="dxa"/>
              <w:right w:w="120" w:type="dxa"/>
            </w:tcMar>
            <w:vAlign w:val="center"/>
          </w:tcPr>
          <w:p w14:paraId="3190EBAE" w14:textId="77777777" w:rsidR="008568AA" w:rsidRDefault="00000000">
            <w:pPr>
              <w:pStyle w:val="MdTableHeader"/>
            </w:pPr>
            <w:r>
              <w:t>Implication</w:t>
            </w:r>
          </w:p>
        </w:tc>
      </w:tr>
      <w:tr w:rsidR="008568AA" w14:paraId="6835004C"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7AE7F491" w14:textId="77777777" w:rsidR="008568AA" w:rsidRDefault="00000000">
            <w:pPr>
              <w:pStyle w:val="MdTableCell"/>
            </w:pPr>
            <w:proofErr w:type="spellStart"/>
            <w:r>
              <w:rPr>
                <w:rStyle w:val="MdStrong"/>
              </w:rPr>
              <w:t>Rentership</w:t>
            </w:r>
            <w:proofErr w:type="spellEnd"/>
            <w:r>
              <w:rPr>
                <w:rStyle w:val="MdStrong"/>
              </w:rPr>
              <w:t xml:space="preserve"> is Structural</w:t>
            </w:r>
          </w:p>
        </w:tc>
        <w:tc>
          <w:tcPr>
            <w:tcW w:w="0" w:type="auto"/>
            <w:tcMar>
              <w:top w:w="80" w:type="dxa"/>
              <w:left w:w="120" w:type="dxa"/>
              <w:bottom w:w="80" w:type="dxa"/>
              <w:right w:w="120" w:type="dxa"/>
            </w:tcMar>
            <w:vAlign w:val="center"/>
          </w:tcPr>
          <w:p w14:paraId="2F9E5524" w14:textId="77777777" w:rsidR="008568AA" w:rsidRDefault="00000000">
            <w:pPr>
              <w:pStyle w:val="MdTableCell"/>
            </w:pPr>
            <w:r>
              <w:t>Durable shift toward renting driven by economics and lifestyle, not cyclical preference</w:t>
            </w:r>
          </w:p>
        </w:tc>
      </w:tr>
      <w:tr w:rsidR="008568AA" w14:paraId="430B3D9F"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5459429E" w14:textId="77777777" w:rsidR="008568AA" w:rsidRDefault="00000000">
            <w:pPr>
              <w:pStyle w:val="MdTableCell"/>
            </w:pPr>
            <w:r>
              <w:rPr>
                <w:rStyle w:val="MdStrong"/>
              </w:rPr>
              <w:t>Supply Normalizing</w:t>
            </w:r>
          </w:p>
        </w:tc>
        <w:tc>
          <w:tcPr>
            <w:tcW w:w="0" w:type="auto"/>
            <w:tcMar>
              <w:top w:w="80" w:type="dxa"/>
              <w:left w:w="120" w:type="dxa"/>
              <w:bottom w:w="80" w:type="dxa"/>
              <w:right w:w="120" w:type="dxa"/>
            </w:tcMar>
            <w:vAlign w:val="center"/>
          </w:tcPr>
          <w:p w14:paraId="7F5D8D86" w14:textId="77777777" w:rsidR="008568AA" w:rsidRDefault="00000000">
            <w:pPr>
              <w:pStyle w:val="MdTableCell"/>
            </w:pPr>
            <w:r>
              <w:t>New construction decelerating; multifamily sector poised for gradual recovery and market rebalancing</w:t>
            </w:r>
          </w:p>
        </w:tc>
      </w:tr>
      <w:tr w:rsidR="008568AA" w14:paraId="77D45503"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2147E4D7" w14:textId="77777777" w:rsidR="008568AA" w:rsidRDefault="00000000">
            <w:pPr>
              <w:pStyle w:val="MdTableCell"/>
            </w:pPr>
            <w:r>
              <w:rPr>
                <w:rStyle w:val="MdStrong"/>
              </w:rPr>
              <w:t>Capital Constraints</w:t>
            </w:r>
          </w:p>
        </w:tc>
        <w:tc>
          <w:tcPr>
            <w:tcW w:w="0" w:type="auto"/>
            <w:tcMar>
              <w:top w:w="80" w:type="dxa"/>
              <w:left w:w="120" w:type="dxa"/>
              <w:bottom w:w="80" w:type="dxa"/>
              <w:right w:w="120" w:type="dxa"/>
            </w:tcMar>
            <w:vAlign w:val="center"/>
          </w:tcPr>
          <w:p w14:paraId="5E22CB0B" w14:textId="77777777" w:rsidR="008568AA" w:rsidRDefault="00000000">
            <w:pPr>
              <w:pStyle w:val="MdTableCell"/>
            </w:pPr>
            <w:r>
              <w:t>Traditional financing mechanisms insufficient to meet rental housing demand</w:t>
            </w:r>
          </w:p>
        </w:tc>
      </w:tr>
      <w:tr w:rsidR="008568AA" w14:paraId="210861CD" w14:textId="77777777">
        <w:tblPrEx>
          <w:tblCellMar>
            <w:top w:w="0" w:type="dxa"/>
            <w:bottom w:w="0" w:type="dxa"/>
          </w:tblCellMar>
        </w:tblPrEx>
        <w:trPr>
          <w:cantSplit/>
          <w:trHeight w:val="576"/>
        </w:trPr>
        <w:tc>
          <w:tcPr>
            <w:tcW w:w="0" w:type="auto"/>
            <w:tcMar>
              <w:top w:w="80" w:type="dxa"/>
              <w:left w:w="120" w:type="dxa"/>
              <w:bottom w:w="80" w:type="dxa"/>
              <w:right w:w="120" w:type="dxa"/>
            </w:tcMar>
            <w:vAlign w:val="center"/>
          </w:tcPr>
          <w:p w14:paraId="27CE4323" w14:textId="77777777" w:rsidR="008568AA" w:rsidRDefault="00000000">
            <w:pPr>
              <w:pStyle w:val="MdTableCell"/>
            </w:pPr>
            <w:r>
              <w:rPr>
                <w:rStyle w:val="MdStrong"/>
              </w:rPr>
              <w:t>Tokenization Bridge</w:t>
            </w:r>
          </w:p>
        </w:tc>
        <w:tc>
          <w:tcPr>
            <w:tcW w:w="0" w:type="auto"/>
            <w:tcMar>
              <w:top w:w="80" w:type="dxa"/>
              <w:left w:w="120" w:type="dxa"/>
              <w:bottom w:w="80" w:type="dxa"/>
              <w:right w:w="120" w:type="dxa"/>
            </w:tcMar>
            <w:vAlign w:val="center"/>
          </w:tcPr>
          <w:p w14:paraId="2EF25089" w14:textId="77777777" w:rsidR="008568AA" w:rsidRDefault="00000000">
            <w:pPr>
              <w:pStyle w:val="MdTableCell"/>
            </w:pPr>
            <w:r>
              <w:t>Democratized access to capital can accelerate multifamily investment and address supply shortages</w:t>
            </w:r>
          </w:p>
        </w:tc>
      </w:tr>
      <w:tr w:rsidR="008568AA" w14:paraId="4FC738DD" w14:textId="77777777">
        <w:tblPrEx>
          <w:tblCellMar>
            <w:top w:w="0" w:type="dxa"/>
            <w:bottom w:w="0" w:type="dxa"/>
          </w:tblCellMar>
        </w:tblPrEx>
        <w:trPr>
          <w:cantSplit/>
          <w:trHeight w:val="576"/>
        </w:trPr>
        <w:tc>
          <w:tcPr>
            <w:tcW w:w="0" w:type="auto"/>
            <w:tcBorders>
              <w:bottom w:val="single" w:sz="4" w:space="0" w:color="E1E4E8"/>
            </w:tcBorders>
            <w:tcMar>
              <w:top w:w="80" w:type="dxa"/>
              <w:left w:w="120" w:type="dxa"/>
              <w:bottom w:w="80" w:type="dxa"/>
              <w:right w:w="120" w:type="dxa"/>
            </w:tcMar>
            <w:vAlign w:val="center"/>
          </w:tcPr>
          <w:p w14:paraId="599CBAA1" w14:textId="77777777" w:rsidR="008568AA" w:rsidRDefault="00000000">
            <w:pPr>
              <w:pStyle w:val="MdTableCell"/>
            </w:pPr>
            <w:r>
              <w:rPr>
                <w:rStyle w:val="MdStrong"/>
              </w:rPr>
              <w:t>Attractive Investment Window</w:t>
            </w:r>
          </w:p>
        </w:tc>
        <w:tc>
          <w:tcPr>
            <w:tcW w:w="0" w:type="auto"/>
            <w:tcBorders>
              <w:bottom w:val="single" w:sz="4" w:space="0" w:color="E1E4E8"/>
            </w:tcBorders>
            <w:tcMar>
              <w:top w:w="80" w:type="dxa"/>
              <w:left w:w="120" w:type="dxa"/>
              <w:bottom w:w="80" w:type="dxa"/>
              <w:right w:w="120" w:type="dxa"/>
            </w:tcMar>
            <w:vAlign w:val="center"/>
          </w:tcPr>
          <w:p w14:paraId="6CB0A56D" w14:textId="77777777" w:rsidR="008568AA" w:rsidRDefault="00000000">
            <w:pPr>
              <w:pStyle w:val="MdTableCell"/>
            </w:pPr>
            <w:r>
              <w:t>Stabilized cap rates and improving visibility create disciplined deployment opportunities</w:t>
            </w:r>
          </w:p>
        </w:tc>
      </w:tr>
    </w:tbl>
    <w:p w14:paraId="28DD5047" w14:textId="77777777" w:rsidR="008568AA" w:rsidRDefault="008568AA">
      <w:pPr>
        <w:pStyle w:val="MdHr"/>
        <w:pBdr>
          <w:bottom w:val="single" w:sz="6" w:space="1" w:color="auto"/>
        </w:pBdr>
      </w:pPr>
    </w:p>
    <w:p w14:paraId="4D5D6D0A" w14:textId="77777777" w:rsidR="008568AA" w:rsidRDefault="008568AA">
      <w:pPr>
        <w:pStyle w:val="MdSpace"/>
        <w:spacing w:after="60"/>
      </w:pPr>
    </w:p>
    <w:p w14:paraId="142CE9C8" w14:textId="77777777" w:rsidR="008568AA" w:rsidRDefault="00000000">
      <w:pPr>
        <w:pStyle w:val="MdHeading2"/>
      </w:pPr>
      <w:r>
        <w:t>The Bottom Line</w:t>
      </w:r>
    </w:p>
    <w:p w14:paraId="1A116CA2" w14:textId="77777777" w:rsidR="008568AA" w:rsidRDefault="00000000">
      <w:pPr>
        <w:pStyle w:val="MdParagraph"/>
      </w:pPr>
      <w:r>
        <w:t xml:space="preserve">The United States has entered a new era of </w:t>
      </w:r>
      <w:proofErr w:type="spellStart"/>
      <w:r>
        <w:t>rentership</w:t>
      </w:r>
      <w:proofErr w:type="spellEnd"/>
      <w:r>
        <w:t>, driven by fundamental shifts in housing economics and household priorities. This structural demand for quality rental housing creates a compelling long-term investment thesis for the multifamily sector. However, realizing the full potential of this opportunity requires innovative solutions to capital constraints that have limited development and acquisition activity.</w:t>
      </w:r>
    </w:p>
    <w:p w14:paraId="29814790" w14:textId="77777777" w:rsidR="008568AA" w:rsidRDefault="008568AA">
      <w:pPr>
        <w:pStyle w:val="MdSpace"/>
        <w:spacing w:after="60"/>
      </w:pPr>
    </w:p>
    <w:p w14:paraId="5FA32871" w14:textId="77777777" w:rsidR="008568AA" w:rsidRDefault="00000000">
      <w:pPr>
        <w:pStyle w:val="MdParagraph"/>
      </w:pPr>
      <w:r>
        <w:t>Real estate tokenization offers a transformative mechanism to address this challenge. By democratizing capital access, improving liquidity, and reducing transaction friction, tokenization can unlock billions of dollars for multifamily investment. The convergence of structural rental demand, attractive pricing, and technological enablement creates an exceptional moment to advance solutions that simultaneously serve investor returns and address America's rental housing shortage.</w:t>
      </w:r>
    </w:p>
    <w:p w14:paraId="11535BAF" w14:textId="77777777" w:rsidR="008568AA" w:rsidRDefault="008568AA">
      <w:pPr>
        <w:pStyle w:val="MdSpace"/>
        <w:spacing w:after="60"/>
      </w:pPr>
    </w:p>
    <w:p w14:paraId="45F0F9E1" w14:textId="77777777" w:rsidR="008568AA" w:rsidRDefault="00000000">
      <w:pPr>
        <w:pStyle w:val="MdParagraph"/>
      </w:pPr>
      <w:r>
        <w:t>The question is not whether tokenization will transform real estate, but how quickly the industry will adopt and scale these solutions. For those positioned at this intersection, the opportunity is significant.</w:t>
      </w:r>
    </w:p>
    <w:p w14:paraId="48AEF425" w14:textId="77777777" w:rsidR="008568AA" w:rsidRDefault="008568AA">
      <w:pPr>
        <w:pStyle w:val="MdSpace"/>
        <w:spacing w:after="60"/>
      </w:pPr>
    </w:p>
    <w:p w14:paraId="03C47754" w14:textId="5453AEB0" w:rsidR="00FD209D" w:rsidRDefault="00FD209D" w:rsidP="00FD209D">
      <w:pPr>
        <w:pStyle w:val="MdHeading2"/>
      </w:pPr>
      <w:r>
        <w:t>CONTACT US:</w:t>
      </w:r>
    </w:p>
    <w:p w14:paraId="19238C27" w14:textId="77777777" w:rsidR="00FD209D" w:rsidRDefault="00FD209D">
      <w:pPr>
        <w:pStyle w:val="MdSpace"/>
        <w:spacing w:after="60"/>
      </w:pPr>
    </w:p>
    <w:p w14:paraId="75BC2DA8" w14:textId="77777777" w:rsidR="00FD209D" w:rsidRDefault="00FD209D">
      <w:pPr>
        <w:pStyle w:val="mdparagraph0"/>
      </w:pPr>
      <w:r>
        <w:t>If you are interested in finding out more about tokenization and real estate financing, we invite you to contact us. Visit our website at www.crequity.ai or email us directly at info@crequity.ai for additional information, partnership opportunities, or to schedule a conversation with our team.</w:t>
      </w:r>
    </w:p>
    <w:p w14:paraId="73DE39F9" w14:textId="77777777" w:rsidR="008568AA" w:rsidRDefault="008568AA">
      <w:pPr>
        <w:pStyle w:val="MdSpace"/>
        <w:spacing w:after="60"/>
      </w:pPr>
    </w:p>
    <w:p w14:paraId="2F62EAB0" w14:textId="77777777" w:rsidR="008568AA" w:rsidRDefault="00000000">
      <w:pPr>
        <w:pStyle w:val="MdHeading2"/>
      </w:pPr>
      <w:r>
        <w:t>References</w:t>
      </w:r>
    </w:p>
    <w:p w14:paraId="5BFAD6CB" w14:textId="77777777" w:rsidR="00FD209D" w:rsidRDefault="00FD209D" w:rsidP="00FD209D">
      <w:pPr>
        <w:shd w:val="clear" w:color="auto" w:fill="FFFFFF"/>
        <w:rPr>
          <w:rFonts w:ascii="Segoe UI" w:hAnsi="Segoe UI" w:cs="Segoe UI"/>
          <w:color w:val="262626"/>
        </w:rPr>
      </w:pPr>
      <w:r>
        <w:rPr>
          <w:rFonts w:ascii="Segoe UI" w:hAnsi="Segoe UI" w:cs="Segoe UI"/>
          <w:color w:val="262626"/>
        </w:rPr>
        <w:t xml:space="preserve">The newsletter contains a single cited source, referenced throughout as </w:t>
      </w:r>
    </w:p>
    <w:p w14:paraId="6D345B1A" w14:textId="1DCC0909" w:rsidR="00FD209D" w:rsidRDefault="00FD209D" w:rsidP="00FD209D">
      <w:pPr>
        <w:shd w:val="clear" w:color="auto" w:fill="FFFFFF"/>
        <w:rPr>
          <w:rFonts w:ascii="Segoe UI" w:hAnsi="Segoe UI" w:cs="Segoe UI"/>
          <w:color w:val="262626"/>
        </w:rPr>
      </w:pPr>
      <w:r>
        <w:rPr>
          <w:rStyle w:val="Strong"/>
          <w:rFonts w:ascii="Segoe UI" w:hAnsi="Segoe UI" w:cs="Segoe UI"/>
          <w:color w:val="262626"/>
          <w:bdr w:val="single" w:sz="2" w:space="0" w:color="E5E7EB" w:frame="1"/>
        </w:rPr>
        <w:t>[1]</w:t>
      </w:r>
      <w:r>
        <w:rPr>
          <w:rFonts w:ascii="Segoe UI" w:hAnsi="Segoe UI" w:cs="Segoe UI"/>
          <w:color w:val="262626"/>
        </w:rPr>
        <w:t xml:space="preserve">: — </w:t>
      </w:r>
      <w:hyperlink r:id="rId16" w:tgtFrame="_blank" w:history="1">
        <w:r>
          <w:rPr>
            <w:rStyle w:val="Hyperlink"/>
            <w:rFonts w:ascii="Segoe UI" w:hAnsi="Segoe UI" w:cs="Segoe UI"/>
            <w:color w:val="404040"/>
            <w:bdr w:val="single" w:sz="2" w:space="0" w:color="E5E7EB" w:frame="1"/>
          </w:rPr>
          <w:t xml:space="preserve">The U.S. Housing Market Has Entered Another Era of </w:t>
        </w:r>
        <w:proofErr w:type="spellStart"/>
        <w:r>
          <w:rPr>
            <w:rStyle w:val="Hyperlink"/>
            <w:rFonts w:ascii="Segoe UI" w:hAnsi="Segoe UI" w:cs="Segoe UI"/>
            <w:color w:val="404040"/>
            <w:bdr w:val="single" w:sz="2" w:space="0" w:color="E5E7EB" w:frame="1"/>
          </w:rPr>
          <w:t>Rentership</w:t>
        </w:r>
        <w:proofErr w:type="spellEnd"/>
      </w:hyperlink>
      <w:r>
        <w:rPr>
          <w:rFonts w:ascii="Segoe UI" w:hAnsi="Segoe UI" w:cs="Segoe UI"/>
          <w:color w:val="262626"/>
        </w:rPr>
        <w:t xml:space="preserve"> | Bridge Investment Group (© 2026)</w:t>
      </w:r>
    </w:p>
    <w:p w14:paraId="47B811F5" w14:textId="77777777" w:rsidR="00FD209D" w:rsidRDefault="00FD209D" w:rsidP="00FD209D">
      <w:pPr>
        <w:shd w:val="clear" w:color="auto" w:fill="FFFFFF"/>
        <w:rPr>
          <w:rFonts w:ascii="Segoe UI" w:hAnsi="Segoe UI" w:cs="Segoe UI"/>
          <w:color w:val="262626"/>
        </w:rPr>
      </w:pPr>
    </w:p>
    <w:p w14:paraId="0C97D555" w14:textId="77777777" w:rsidR="00FD209D" w:rsidRDefault="00FD209D" w:rsidP="00FD209D">
      <w:pPr>
        <w:shd w:val="clear" w:color="auto" w:fill="FFFFFF"/>
        <w:rPr>
          <w:rFonts w:ascii="Segoe UI" w:hAnsi="Segoe UI" w:cs="Segoe UI"/>
          <w:color w:val="262626"/>
        </w:rPr>
      </w:pPr>
      <w:r>
        <w:rPr>
          <w:rFonts w:ascii="Segoe UI" w:hAnsi="Segoe UI" w:cs="Segoe UI"/>
          <w:color w:val="262626"/>
        </w:rPr>
        <w:t>All factual claims, data points, and quoted passages in the newsletter are drawn directly from this article. The tokenization analysis sections represent an editorial extension of the blog's themes, framed around the newsletter's custom title and thesis, rather than separately cited external sources. If you'd like me to expand the newsletter with additional cited sources on real estate tokenization, I'm happy to research and incorporate those.</w:t>
      </w:r>
    </w:p>
    <w:p w14:paraId="1CC4778B" w14:textId="77777777" w:rsidR="00FD209D" w:rsidRPr="00FD209D" w:rsidRDefault="00FD209D">
      <w:pPr>
        <w:pStyle w:val="MdHeading2"/>
        <w:rPr>
          <w:b w:val="0"/>
          <w:bCs w:val="0"/>
        </w:rPr>
      </w:pPr>
    </w:p>
    <w:sectPr w:rsidR="00FD209D" w:rsidRPr="00FD209D">
      <w:footerReference w:type="even" r:id="rId17"/>
      <w:footerReference w:type="default" r:id="rId1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A7F67" w14:textId="77777777" w:rsidR="009233C7" w:rsidRDefault="009233C7" w:rsidP="00FD209D">
      <w:r>
        <w:separator/>
      </w:r>
    </w:p>
  </w:endnote>
  <w:endnote w:type="continuationSeparator" w:id="0">
    <w:p w14:paraId="04A684E8" w14:textId="77777777" w:rsidR="009233C7" w:rsidRDefault="009233C7" w:rsidP="00FD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27337916"/>
      <w:docPartObj>
        <w:docPartGallery w:val="Page Numbers (Bottom of Page)"/>
        <w:docPartUnique/>
      </w:docPartObj>
    </w:sdtPr>
    <w:sdtContent>
      <w:p w14:paraId="64F69AE4" w14:textId="348ADF9C" w:rsidR="00FD209D" w:rsidRDefault="00FD209D" w:rsidP="00BC4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34ABB0D" w14:textId="77777777" w:rsidR="00FD209D" w:rsidRDefault="00FD209D" w:rsidP="00FD20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2376980"/>
      <w:docPartObj>
        <w:docPartGallery w:val="Page Numbers (Bottom of Page)"/>
        <w:docPartUnique/>
      </w:docPartObj>
    </w:sdtPr>
    <w:sdtContent>
      <w:p w14:paraId="2DEDBE41" w14:textId="1654183B" w:rsidR="00FD209D" w:rsidRDefault="00FD209D" w:rsidP="00BC4F7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C4493FA" w14:textId="77777777" w:rsidR="00FD209D" w:rsidRDefault="00FD209D" w:rsidP="00FD20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0B580" w14:textId="77777777" w:rsidR="009233C7" w:rsidRDefault="009233C7" w:rsidP="00FD209D">
      <w:r>
        <w:separator/>
      </w:r>
    </w:p>
  </w:footnote>
  <w:footnote w:type="continuationSeparator" w:id="0">
    <w:p w14:paraId="5FCA60BD" w14:textId="77777777" w:rsidR="009233C7" w:rsidRDefault="009233C7" w:rsidP="00FD2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5970"/>
    <w:multiLevelType w:val="multilevel"/>
    <w:tmpl w:val="1252164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62D503E"/>
    <w:multiLevelType w:val="hybridMultilevel"/>
    <w:tmpl w:val="509245A2"/>
    <w:lvl w:ilvl="0" w:tplc="AEFEBA80">
      <w:start w:val="1"/>
      <w:numFmt w:val="bullet"/>
      <w:lvlText w:val="●"/>
      <w:lvlJc w:val="left"/>
      <w:pPr>
        <w:ind w:left="720" w:hanging="360"/>
      </w:pPr>
    </w:lvl>
    <w:lvl w:ilvl="1" w:tplc="4B7417A0">
      <w:start w:val="1"/>
      <w:numFmt w:val="bullet"/>
      <w:lvlText w:val="○"/>
      <w:lvlJc w:val="left"/>
      <w:pPr>
        <w:ind w:left="1440" w:hanging="360"/>
      </w:pPr>
    </w:lvl>
    <w:lvl w:ilvl="2" w:tplc="D8467494">
      <w:start w:val="1"/>
      <w:numFmt w:val="bullet"/>
      <w:lvlText w:val="■"/>
      <w:lvlJc w:val="left"/>
      <w:pPr>
        <w:ind w:left="2160" w:hanging="360"/>
      </w:pPr>
    </w:lvl>
    <w:lvl w:ilvl="3" w:tplc="C772D9C4">
      <w:start w:val="1"/>
      <w:numFmt w:val="bullet"/>
      <w:lvlText w:val="●"/>
      <w:lvlJc w:val="left"/>
      <w:pPr>
        <w:ind w:left="2880" w:hanging="360"/>
      </w:pPr>
    </w:lvl>
    <w:lvl w:ilvl="4" w:tplc="C65E8ABC">
      <w:start w:val="1"/>
      <w:numFmt w:val="bullet"/>
      <w:lvlText w:val="○"/>
      <w:lvlJc w:val="left"/>
      <w:pPr>
        <w:ind w:left="3600" w:hanging="360"/>
      </w:pPr>
    </w:lvl>
    <w:lvl w:ilvl="5" w:tplc="B8169358">
      <w:start w:val="1"/>
      <w:numFmt w:val="bullet"/>
      <w:lvlText w:val="■"/>
      <w:lvlJc w:val="left"/>
      <w:pPr>
        <w:ind w:left="4320" w:hanging="360"/>
      </w:pPr>
    </w:lvl>
    <w:lvl w:ilvl="6" w:tplc="2E1C4B3E">
      <w:start w:val="1"/>
      <w:numFmt w:val="bullet"/>
      <w:lvlText w:val="●"/>
      <w:lvlJc w:val="left"/>
      <w:pPr>
        <w:ind w:left="5040" w:hanging="360"/>
      </w:pPr>
    </w:lvl>
    <w:lvl w:ilvl="7" w:tplc="03C858FA">
      <w:start w:val="1"/>
      <w:numFmt w:val="bullet"/>
      <w:lvlText w:val="●"/>
      <w:lvlJc w:val="left"/>
      <w:pPr>
        <w:ind w:left="5760" w:hanging="360"/>
      </w:pPr>
    </w:lvl>
    <w:lvl w:ilvl="8" w:tplc="02B2B426">
      <w:start w:val="1"/>
      <w:numFmt w:val="bullet"/>
      <w:lvlText w:val="●"/>
      <w:lvlJc w:val="left"/>
      <w:pPr>
        <w:ind w:left="6480" w:hanging="360"/>
      </w:pPr>
    </w:lvl>
  </w:abstractNum>
  <w:abstractNum w:abstractNumId="2" w15:restartNumberingAfterBreak="0">
    <w:nsid w:val="67A91552"/>
    <w:multiLevelType w:val="hybridMultilevel"/>
    <w:tmpl w:val="1F06855E"/>
    <w:lvl w:ilvl="0" w:tplc="D24E957A">
      <w:start w:val="1"/>
      <w:numFmt w:val="bullet"/>
      <w:lvlText w:val="•"/>
      <w:lvlJc w:val="left"/>
      <w:pPr>
        <w:ind w:left="720" w:hanging="360"/>
      </w:pPr>
    </w:lvl>
    <w:lvl w:ilvl="1" w:tplc="076C319C">
      <w:start w:val="1"/>
      <w:numFmt w:val="bullet"/>
      <w:lvlText w:val="◦"/>
      <w:lvlJc w:val="left"/>
      <w:pPr>
        <w:ind w:left="1440" w:hanging="360"/>
      </w:pPr>
    </w:lvl>
    <w:lvl w:ilvl="2" w:tplc="9912E50C">
      <w:start w:val="1"/>
      <w:numFmt w:val="bullet"/>
      <w:lvlText w:val="•"/>
      <w:lvlJc w:val="left"/>
      <w:pPr>
        <w:ind w:left="2160" w:hanging="360"/>
      </w:pPr>
    </w:lvl>
    <w:lvl w:ilvl="3" w:tplc="96EC8318">
      <w:start w:val="1"/>
      <w:numFmt w:val="bullet"/>
      <w:lvlText w:val="◦"/>
      <w:lvlJc w:val="left"/>
      <w:pPr>
        <w:ind w:left="2880" w:hanging="360"/>
      </w:pPr>
    </w:lvl>
    <w:lvl w:ilvl="4" w:tplc="AC5010D2">
      <w:start w:val="1"/>
      <w:numFmt w:val="bullet"/>
      <w:lvlText w:val="•"/>
      <w:lvlJc w:val="left"/>
      <w:pPr>
        <w:ind w:left="3600" w:hanging="360"/>
      </w:pPr>
    </w:lvl>
    <w:lvl w:ilvl="5" w:tplc="9BF2030E">
      <w:start w:val="1"/>
      <w:numFmt w:val="bullet"/>
      <w:lvlText w:val="◦"/>
      <w:lvlJc w:val="left"/>
      <w:pPr>
        <w:ind w:left="4320" w:hanging="360"/>
      </w:pPr>
    </w:lvl>
    <w:lvl w:ilvl="6" w:tplc="78BEA906">
      <w:start w:val="1"/>
      <w:numFmt w:val="bullet"/>
      <w:lvlText w:val="•"/>
      <w:lvlJc w:val="left"/>
      <w:pPr>
        <w:ind w:left="5040" w:hanging="360"/>
      </w:pPr>
    </w:lvl>
    <w:lvl w:ilvl="7" w:tplc="E4C02DA6">
      <w:numFmt w:val="decimal"/>
      <w:lvlText w:val=""/>
      <w:lvlJc w:val="left"/>
    </w:lvl>
    <w:lvl w:ilvl="8" w:tplc="B2F27DAC">
      <w:numFmt w:val="decimal"/>
      <w:lvlText w:val=""/>
      <w:lvlJc w:val="left"/>
    </w:lvl>
  </w:abstractNum>
  <w:num w:numId="1" w16cid:durableId="292298672">
    <w:abstractNumId w:val="1"/>
    <w:lvlOverride w:ilvl="0">
      <w:startOverride w:val="1"/>
    </w:lvlOverride>
  </w:num>
  <w:num w:numId="2" w16cid:durableId="173755615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8AA"/>
    <w:rsid w:val="005D3E57"/>
    <w:rsid w:val="008568AA"/>
    <w:rsid w:val="009233C7"/>
    <w:rsid w:val="00FD2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306B89"/>
  <w15:docId w15:val="{493464B3-94D1-0C41-85C8-708B1A629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color="0563C1"/>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MdSpace">
    <w:name w:val="MdSpace"/>
    <w:qFormat/>
    <w:rPr>
      <w:sz w:val="12"/>
      <w:szCs w:val="12"/>
    </w:rPr>
  </w:style>
  <w:style w:type="paragraph" w:customStyle="1" w:styleId="MdCode">
    <w:name w:val="MdCode"/>
    <w:qFormat/>
    <w:pPr>
      <w:pBdr>
        <w:top w:val="single" w:sz="1" w:space="8" w:color="A5A5A5"/>
        <w:left w:val="single" w:sz="1" w:space="8" w:color="A5A5A5"/>
        <w:bottom w:val="single" w:sz="1" w:space="8" w:color="A5A5A5"/>
        <w:right w:val="single" w:sz="1" w:space="8" w:color="A5A5A5"/>
      </w:pBdr>
      <w:spacing w:before="200" w:after="200"/>
    </w:pPr>
    <w:rPr>
      <w:rFonts w:ascii="Courier New" w:eastAsia="Courier New" w:hAnsi="Courier New" w:cs="Courier New"/>
      <w:color w:val="70AD47"/>
      <w:sz w:val="22"/>
      <w:szCs w:val="22"/>
    </w:rPr>
  </w:style>
  <w:style w:type="paragraph" w:customStyle="1" w:styleId="MdHr">
    <w:name w:val="MdHr"/>
    <w:qFormat/>
    <w:pPr>
      <w:pBdr>
        <w:bottom w:val="single" w:sz="1" w:space="1" w:color="A5A5A5"/>
      </w:pBdr>
      <w:spacing w:before="240" w:after="240"/>
    </w:pPr>
  </w:style>
  <w:style w:type="paragraph" w:customStyle="1" w:styleId="MdBlockquote">
    <w:name w:val="MdBlockquote"/>
    <w:qFormat/>
    <w:pPr>
      <w:pBdr>
        <w:left w:val="single" w:sz="20" w:space="12" w:color="A5A5A5"/>
      </w:pBdr>
      <w:spacing w:before="200" w:after="200"/>
      <w:ind w:left="360"/>
    </w:pPr>
    <w:rPr>
      <w:i/>
      <w:iCs/>
      <w:color w:val="666666"/>
    </w:rPr>
  </w:style>
  <w:style w:type="paragraph" w:customStyle="1" w:styleId="MdHtml">
    <w:name w:val="MdHtml"/>
    <w:qFormat/>
    <w:rPr>
      <w:rFonts w:ascii="Courier New" w:eastAsia="Courier New" w:hAnsi="Courier New" w:cs="Courier New"/>
      <w:color w:val="ED7D31"/>
    </w:rPr>
  </w:style>
  <w:style w:type="paragraph" w:customStyle="1" w:styleId="MdDef">
    <w:name w:val="MdDef"/>
    <w:qFormat/>
    <w:pPr>
      <w:ind w:left="720" w:hanging="360"/>
    </w:pPr>
  </w:style>
  <w:style w:type="paragraph" w:customStyle="1" w:styleId="MdParagraph">
    <w:name w:val="MdParagraph"/>
    <w:qFormat/>
    <w:pPr>
      <w:spacing w:before="120" w:after="120"/>
    </w:pPr>
  </w:style>
  <w:style w:type="paragraph" w:customStyle="1" w:styleId="MdText">
    <w:name w:val="MdText"/>
    <w:qFormat/>
  </w:style>
  <w:style w:type="paragraph" w:customStyle="1" w:styleId="MdFootnote">
    <w:name w:val="MdFootnote"/>
    <w:qFormat/>
    <w:rPr>
      <w:vertAlign w:val="superscript"/>
    </w:rPr>
  </w:style>
  <w:style w:type="paragraph" w:customStyle="1" w:styleId="MdListItem">
    <w:name w:val="MdListItem"/>
    <w:qFormat/>
    <w:pPr>
      <w:spacing w:before="60" w:after="60"/>
      <w:ind w:left="720" w:hanging="360"/>
    </w:pPr>
  </w:style>
  <w:style w:type="paragraph" w:customStyle="1" w:styleId="MdTable">
    <w:name w:val="MdTable"/>
    <w:qFormat/>
    <w:pPr>
      <w:spacing w:before="60" w:after="60"/>
    </w:pPr>
  </w:style>
  <w:style w:type="paragraph" w:customStyle="1" w:styleId="MdTableHeader">
    <w:name w:val="MdTableHeader"/>
    <w:qFormat/>
    <w:pPr>
      <w:spacing w:before="60" w:after="60"/>
    </w:pPr>
    <w:rPr>
      <w:b/>
      <w:bCs/>
      <w:sz w:val="22"/>
      <w:szCs w:val="22"/>
    </w:rPr>
  </w:style>
  <w:style w:type="paragraph" w:customStyle="1" w:styleId="MdTableCell">
    <w:name w:val="MdTableCell"/>
    <w:qFormat/>
    <w:pPr>
      <w:spacing w:before="40" w:after="40"/>
    </w:pPr>
    <w:rPr>
      <w:sz w:val="20"/>
      <w:szCs w:val="20"/>
    </w:rPr>
  </w:style>
  <w:style w:type="paragraph" w:customStyle="1" w:styleId="MdHeading1">
    <w:name w:val="MdHeading1"/>
    <w:qFormat/>
    <w:pPr>
      <w:keepNext/>
      <w:spacing w:before="480" w:after="240"/>
      <w:outlineLvl w:val="0"/>
    </w:pPr>
    <w:rPr>
      <w:b/>
      <w:bCs/>
      <w:sz w:val="36"/>
      <w:szCs w:val="36"/>
    </w:rPr>
  </w:style>
  <w:style w:type="paragraph" w:customStyle="1" w:styleId="MdHeading2">
    <w:name w:val="MdHeading2"/>
    <w:qFormat/>
    <w:pPr>
      <w:keepNext/>
      <w:spacing w:before="400" w:after="200"/>
      <w:outlineLvl w:val="1"/>
    </w:pPr>
    <w:rPr>
      <w:b/>
      <w:bCs/>
      <w:sz w:val="32"/>
      <w:szCs w:val="32"/>
    </w:rPr>
  </w:style>
  <w:style w:type="paragraph" w:customStyle="1" w:styleId="MdHeading3">
    <w:name w:val="MdHeading3"/>
    <w:qFormat/>
    <w:pPr>
      <w:keepNext/>
      <w:spacing w:before="320" w:after="160"/>
      <w:outlineLvl w:val="2"/>
    </w:pPr>
    <w:rPr>
      <w:b/>
      <w:bCs/>
      <w:sz w:val="28"/>
      <w:szCs w:val="28"/>
    </w:rPr>
  </w:style>
  <w:style w:type="paragraph" w:customStyle="1" w:styleId="MdHeading4">
    <w:name w:val="MdHeading4"/>
    <w:qFormat/>
    <w:pPr>
      <w:keepNext/>
      <w:spacing w:before="280" w:after="140"/>
      <w:outlineLvl w:val="3"/>
    </w:pPr>
    <w:rPr>
      <w:b/>
      <w:bCs/>
      <w:sz w:val="26"/>
      <w:szCs w:val="26"/>
    </w:rPr>
  </w:style>
  <w:style w:type="paragraph" w:customStyle="1" w:styleId="MdHeading5">
    <w:name w:val="MdHeading5"/>
    <w:qFormat/>
    <w:pPr>
      <w:keepNext/>
      <w:spacing w:before="240" w:after="120"/>
      <w:outlineLvl w:val="4"/>
    </w:pPr>
    <w:rPr>
      <w:b/>
      <w:bCs/>
      <w:i/>
      <w:iCs/>
    </w:rPr>
  </w:style>
  <w:style w:type="paragraph" w:customStyle="1" w:styleId="MdHeading6">
    <w:name w:val="MdHeading6"/>
    <w:qFormat/>
    <w:pPr>
      <w:keepNext/>
      <w:spacing w:before="240" w:after="120"/>
      <w:outlineLvl w:val="5"/>
    </w:pPr>
    <w:rPr>
      <w:i/>
      <w:iCs/>
    </w:rPr>
  </w:style>
  <w:style w:type="character" w:customStyle="1" w:styleId="MdTag">
    <w:name w:val="MdTag"/>
    <w:uiPriority w:val="99"/>
    <w:unhideWhenUsed/>
    <w:qFormat/>
    <w:rPr>
      <w:rFonts w:ascii="Courier New" w:eastAsia="Courier New" w:hAnsi="Courier New" w:cs="Courier New"/>
      <w:color w:val="ED7D31"/>
    </w:rPr>
  </w:style>
  <w:style w:type="character" w:customStyle="1" w:styleId="MdLink">
    <w:name w:val="MdLink"/>
    <w:uiPriority w:val="99"/>
    <w:unhideWhenUsed/>
    <w:qFormat/>
    <w:rPr>
      <w:color w:val="0563C1"/>
      <w:u w:val="single"/>
    </w:rPr>
  </w:style>
  <w:style w:type="character" w:customStyle="1" w:styleId="MdStrong">
    <w:name w:val="MdStrong"/>
    <w:uiPriority w:val="99"/>
    <w:unhideWhenUsed/>
    <w:qFormat/>
    <w:rPr>
      <w:b/>
      <w:bCs/>
    </w:rPr>
  </w:style>
  <w:style w:type="character" w:customStyle="1" w:styleId="MdEm">
    <w:name w:val="MdEm"/>
    <w:uiPriority w:val="99"/>
    <w:unhideWhenUsed/>
    <w:qFormat/>
    <w:rPr>
      <w:i/>
      <w:iCs/>
    </w:rPr>
  </w:style>
  <w:style w:type="character" w:customStyle="1" w:styleId="MdCodespan">
    <w:name w:val="MdCodespan"/>
    <w:uiPriority w:val="99"/>
    <w:unhideWhenUsed/>
    <w:qFormat/>
    <w:rPr>
      <w:rFonts w:ascii="Courier New" w:eastAsia="Courier New" w:hAnsi="Courier New" w:cs="Courier New"/>
      <w:color w:val="70AD47"/>
    </w:rPr>
  </w:style>
  <w:style w:type="character" w:customStyle="1" w:styleId="MdDel">
    <w:name w:val="MdDel"/>
    <w:uiPriority w:val="99"/>
    <w:unhideWhenUsed/>
    <w:qFormat/>
    <w:rPr>
      <w:strike/>
    </w:rPr>
  </w:style>
  <w:style w:type="character" w:customStyle="1" w:styleId="MdBr">
    <w:name w:val="MdBr"/>
    <w:uiPriority w:val="99"/>
    <w:unhideWhenUsed/>
    <w:qFormat/>
  </w:style>
  <w:style w:type="paragraph" w:styleId="Footer">
    <w:name w:val="footer"/>
    <w:basedOn w:val="Normal"/>
    <w:link w:val="FooterChar"/>
    <w:uiPriority w:val="99"/>
    <w:unhideWhenUsed/>
    <w:rsid w:val="00FD209D"/>
    <w:pPr>
      <w:tabs>
        <w:tab w:val="center" w:pos="4680"/>
        <w:tab w:val="right" w:pos="9360"/>
      </w:tabs>
    </w:pPr>
  </w:style>
  <w:style w:type="character" w:customStyle="1" w:styleId="FooterChar">
    <w:name w:val="Footer Char"/>
    <w:basedOn w:val="DefaultParagraphFont"/>
    <w:link w:val="Footer"/>
    <w:uiPriority w:val="99"/>
    <w:rsid w:val="00FD209D"/>
  </w:style>
  <w:style w:type="character" w:styleId="PageNumber">
    <w:name w:val="page number"/>
    <w:basedOn w:val="DefaultParagraphFont"/>
    <w:uiPriority w:val="99"/>
    <w:semiHidden/>
    <w:unhideWhenUsed/>
    <w:rsid w:val="00FD209D"/>
  </w:style>
  <w:style w:type="paragraph" w:customStyle="1" w:styleId="mdparagraph0">
    <w:name w:val="mdparagraph"/>
    <w:basedOn w:val="Normal"/>
    <w:rsid w:val="00FD209D"/>
    <w:pPr>
      <w:spacing w:before="100" w:beforeAutospacing="1" w:after="100" w:afterAutospacing="1"/>
    </w:pPr>
    <w:rPr>
      <w:rFonts w:eastAsiaTheme="minorEastAsia"/>
    </w:rPr>
  </w:style>
  <w:style w:type="character" w:styleId="Strong">
    <w:name w:val="Strong"/>
    <w:basedOn w:val="DefaultParagraphFont"/>
    <w:uiPriority w:val="22"/>
    <w:qFormat/>
    <w:rsid w:val="00FD20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ridgeig.com/the-u-s-housing-market-has-entered-another-era-of-rentership/" TargetMode="External"/><Relationship Id="rId13" Type="http://schemas.openxmlformats.org/officeDocument/2006/relationships/hyperlink" Target="https://www.bridgeig.com/the-u-s-housing-market-has-entered-another-era-of-rentership/"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bridgeig.com/the-u-s-housing-market-has-entered-another-era-of-rentership/" TargetMode="External"/><Relationship Id="rId12" Type="http://schemas.openxmlformats.org/officeDocument/2006/relationships/hyperlink" Target="https://www.bridgeig.com/the-u-s-housing-market-has-entered-another-era-of-rentershi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bridgeig.com/the-u-s-housing-market-has-entered-another-era-of-rentershi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dgeig.com/the-u-s-housing-market-has-entered-another-era-of-rentership/" TargetMode="External"/><Relationship Id="rId5" Type="http://schemas.openxmlformats.org/officeDocument/2006/relationships/footnotes" Target="footnotes.xml"/><Relationship Id="rId15" Type="http://schemas.openxmlformats.org/officeDocument/2006/relationships/hyperlink" Target="https://www.bridgeig.com/the-u-s-housing-market-has-entered-another-era-of-rentership/" TargetMode="External"/><Relationship Id="rId10" Type="http://schemas.openxmlformats.org/officeDocument/2006/relationships/hyperlink" Target="https://www.bridgeig.com/the-u-s-housing-market-has-entered-another-era-of-rentershi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ridgeig.com/the-u-s-housing-market-has-entered-another-era-of-rentership/" TargetMode="External"/><Relationship Id="rId14" Type="http://schemas.openxmlformats.org/officeDocument/2006/relationships/hyperlink" Target="https://www.bridgeig.com/the-u-s-housing-market-has-entered-another-era-of-rent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1578</Words>
  <Characters>10542</Characters>
  <Application>Microsoft Office Word</Application>
  <DocSecurity>0</DocSecurity>
  <Lines>219</Lines>
  <Paragraphs>67</Paragraphs>
  <ScaleCrop>false</ScaleCrop>
  <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Converted Document</dc:title>
  <dc:creator>md2docx converter</dc:creator>
  <dc:description>Converted from Markdown</dc:description>
  <cp:lastModifiedBy>Rob Stewart</cp:lastModifiedBy>
  <cp:revision>2</cp:revision>
  <dcterms:created xsi:type="dcterms:W3CDTF">2026-04-28T13:28:00Z</dcterms:created>
  <dcterms:modified xsi:type="dcterms:W3CDTF">2026-04-28T13:28:00Z</dcterms:modified>
</cp:coreProperties>
</file>