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2240"/>
        <w:tblBorders>
          <w:top w:val="single" w:color="auto" w:sz="4"/>
          <w:left w:val="single" w:color="auto" w:sz="4"/>
          <w:bottom w:val="single" w:color="auto" w:sz="4"/>
          <w:right w:val="single" w:color="auto" w:sz="4"/>
          <w:insideH w:val="single" w:color="auto" w:sz="4"/>
          <w:insideV w:val="single" w:color="auto" w:sz="4"/>
        </w:tblBorders>
      </w:tblPr>
      <w:tblGrid>
        <w:gridCol w:w="12240"/>
      </w:tblGrid>
      <w:tr>
        <w:tc>
          <w:tcPr>
            <w:tcBorders>
              <w:top w:val="none" w:color="FFFFFF" w:sz="0"/>
              <w:left w:val="none" w:color="FFFFFF" w:sz="0"/>
              <w:bottom w:val="none" w:color="FFFFFF" w:sz="0"/>
              <w:right w:val="none" w:color="FFFFFF" w:sz="0"/>
            </w:tcBorders>
            <w:shd w:fill="0A2647" w:val="clear"/>
            <w:tcMar>
              <w:top w:type="dxa" w:w="800"/>
              <w:left w:type="dxa" w:w="1440"/>
              <w:bottom w:type="dxa" w:w="600"/>
              <w:right w:type="dxa" w:w="1440"/>
            </w:tcMar>
          </w:tcPr>
          <w:p>
            <w:pPr>
              <w:spacing w:after="80" w:before="0"/>
              <w:jc w:val="left"/>
            </w:pPr>
            <w:r>
              <w:rPr>
                <w:rFonts w:ascii="Arial" w:cs="Arial" w:eastAsia="Arial" w:hAnsi="Arial"/>
                <w:b/>
                <w:bCs/>
                <w:color w:val="64B5F6"/>
                <w:sz w:val="28"/>
                <w:szCs w:val="28"/>
              </w:rPr>
              <w:t xml:space="preserve">CR EQUITY AI</w:t>
            </w:r>
          </w:p>
          <w:p>
            <w:pPr>
              <w:spacing w:after="0" w:before="0"/>
              <w:jc w:val="left"/>
            </w:pPr>
            <w:r>
              <w:rPr>
                <w:rFonts w:ascii="Arial" w:cs="Arial" w:eastAsia="Arial" w:hAnsi="Arial"/>
                <w:color w:val="90CAF9"/>
                <w:sz w:val="18"/>
                <w:szCs w:val="18"/>
              </w:rPr>
              <w:t xml:space="preserve">www.crequity.ai</w:t>
            </w:r>
          </w:p>
        </w:tc>
      </w:tr>
    </w:tbl>
    <w:tbl>
      <w:tblPr>
        <w:tblW w:type="dxa" w:w="12240"/>
        <w:tblBorders>
          <w:top w:val="single" w:color="auto" w:sz="4"/>
          <w:left w:val="single" w:color="auto" w:sz="4"/>
          <w:bottom w:val="single" w:color="auto" w:sz="4"/>
          <w:right w:val="single" w:color="auto" w:sz="4"/>
          <w:insideH w:val="single" w:color="auto" w:sz="4"/>
          <w:insideV w:val="single" w:color="auto" w:sz="4"/>
        </w:tblBorders>
      </w:tblPr>
      <w:tblGrid>
        <w:gridCol w:w="12240"/>
      </w:tblGrid>
      <w:tr>
        <w:tc>
          <w:tcPr>
            <w:tcBorders>
              <w:top w:val="none" w:color="FFFFFF" w:sz="0"/>
              <w:left w:val="none" w:color="FFFFFF" w:sz="0"/>
              <w:bottom w:val="none" w:color="FFFFFF" w:sz="0"/>
              <w:right w:val="none" w:color="FFFFFF" w:sz="0"/>
            </w:tcBorders>
            <w:shd w:fill="1E88E5" w:val="clear"/>
            <w:tcMar>
              <w:top w:type="dxa" w:w="60"/>
              <w:left w:type="dxa" w:w="0"/>
              <w:bottom w:type="dxa" w:w="60"/>
              <w:right w:type="dxa" w:w="0"/>
            </w:tcMar>
          </w:tcPr>
          <w:p>
            <w:r>
              <w:t xml:space="preserve"/>
            </w:r>
          </w:p>
        </w:tc>
      </w:tr>
    </w:tbl>
    <w:tbl>
      <w:tblPr>
        <w:tblW w:type="dxa" w:w="12240"/>
        <w:tblBorders>
          <w:top w:val="single" w:color="auto" w:sz="4"/>
          <w:left w:val="single" w:color="auto" w:sz="4"/>
          <w:bottom w:val="single" w:color="auto" w:sz="4"/>
          <w:right w:val="single" w:color="auto" w:sz="4"/>
          <w:insideH w:val="single" w:color="auto" w:sz="4"/>
          <w:insideV w:val="single" w:color="auto" w:sz="4"/>
        </w:tblBorders>
      </w:tblPr>
      <w:tblGrid>
        <w:gridCol w:w="12240"/>
      </w:tblGrid>
      <w:tr>
        <w:tc>
          <w:tcPr>
            <w:tcBorders>
              <w:top w:val="none" w:color="FFFFFF" w:sz="0"/>
              <w:left w:val="none" w:color="FFFFFF" w:sz="0"/>
              <w:bottom w:val="none" w:color="FFFFFF" w:sz="0"/>
              <w:right w:val="none" w:color="FFFFFF" w:sz="0"/>
            </w:tcBorders>
            <w:shd w:fill="FFFFFF" w:val="clear"/>
            <w:tcMar>
              <w:top w:type="dxa" w:w="1200"/>
              <w:left w:type="dxa" w:w="1440"/>
              <w:bottom w:type="dxa" w:w="600"/>
              <w:right w:type="dxa" w:w="1440"/>
            </w:tcMar>
          </w:tcPr>
          <w:p>
            <w:pPr>
              <w:spacing w:after="200" w:before="0"/>
              <w:jc w:val="left"/>
            </w:pPr>
            <w:r>
              <w:rPr>
                <w:rFonts w:ascii="Arial" w:cs="Arial" w:eastAsia="Arial" w:hAnsi="Arial"/>
                <w:b/>
                <w:bCs/>
                <w:color w:val="1E88E5"/>
                <w:sz w:val="24"/>
                <w:szCs w:val="24"/>
              </w:rPr>
              <w:t xml:space="preserve">RESEARCH REPORT</w:t>
            </w:r>
          </w:p>
          <w:p>
            <w:pPr>
              <w:spacing w:after="120" w:before="0"/>
              <w:jc w:val="left"/>
            </w:pPr>
            <w:r>
              <w:rPr>
                <w:rFonts w:ascii="Arial" w:cs="Arial" w:eastAsia="Arial" w:hAnsi="Arial"/>
                <w:b/>
                <w:bCs/>
                <w:color w:val="0A2647"/>
                <w:sz w:val="56"/>
                <w:szCs w:val="56"/>
              </w:rPr>
              <w:t xml:space="preserve">The Agentic AI Revolution</w:t>
            </w:r>
          </w:p>
          <w:p>
            <w:pPr>
              <w:spacing w:after="120" w:before="0"/>
              <w:jc w:val="left"/>
            </w:pPr>
            <w:r>
              <w:rPr>
                <w:rFonts w:ascii="Arial" w:cs="Arial" w:eastAsia="Arial" w:hAnsi="Arial"/>
                <w:b/>
                <w:bCs/>
                <w:color w:val="0A2647"/>
                <w:sz w:val="56"/>
                <w:szCs w:val="56"/>
              </w:rPr>
              <w:t xml:space="preserve">in Real Estate Brokerage</w:t>
            </w:r>
          </w:p>
          <w:p>
            <w:pPr>
              <w:spacing w:after="0" w:before="80"/>
              <w:jc w:val="left"/>
            </w:pPr>
            <w:r>
              <w:rPr>
                <w:rFonts w:ascii="Arial" w:cs="Arial" w:eastAsia="Arial" w:hAnsi="Arial"/>
                <w:i/>
                <w:iCs/>
                <w:color w:val="1565C0"/>
                <w:sz w:val="30"/>
                <w:szCs w:val="30"/>
              </w:rPr>
              <w:t xml:space="preserve">Profession, Disruption, and the Fintech Frontier</w:t>
            </w:r>
          </w:p>
        </w:tc>
      </w:tr>
    </w:tbl>
    <w:tbl>
      <w:tblPr>
        <w:tblW w:type="dxa" w:w="12240"/>
        <w:tblBorders>
          <w:top w:val="single" w:color="auto" w:sz="4"/>
          <w:left w:val="single" w:color="auto" w:sz="4"/>
          <w:bottom w:val="single" w:color="auto" w:sz="4"/>
          <w:right w:val="single" w:color="auto" w:sz="4"/>
          <w:insideH w:val="single" w:color="auto" w:sz="4"/>
          <w:insideV w:val="single" w:color="auto" w:sz="4"/>
        </w:tblBorders>
      </w:tblPr>
      <w:tblGrid>
        <w:gridCol w:w="1440"/>
        <w:gridCol w:w="9360"/>
        <w:gridCol w:w="1440"/>
      </w:tblGrid>
      <w:tr>
        <w:tc>
          <w:tcPr>
            <w:tcBorders>
              <w:top w:val="none" w:color="FFFFFF" w:sz="0"/>
              <w:left w:val="none" w:color="FFFFFF" w:sz="0"/>
              <w:bottom w:val="none" w:color="FFFFFF" w:sz="0"/>
              <w:right w:val="none" w:color="FFFFFF" w:sz="0"/>
            </w:tcBorders>
            <w:shd w:fill="FFFFFF" w:val="clear"/>
          </w:tcPr>
          <w:p>
            <w:r>
              <w:t xml:space="preserve"/>
            </w:r>
          </w:p>
        </w:tc>
        <w:tc>
          <w:tcPr>
            <w:tcBorders>
              <w:top w:val="none" w:color="FFFFFF" w:sz="0"/>
              <w:left w:val="none" w:color="FFFFFF" w:sz="0"/>
              <w:bottom w:val="none" w:color="FFFFFF" w:sz="0"/>
              <w:right w:val="none" w:color="FFFFFF" w:sz="0"/>
            </w:tcBorders>
            <w:shd w:fill="1E88E5" w:val="clear"/>
            <w:tcMar>
              <w:top w:type="dxa" w:w="30"/>
              <w:left w:type="dxa" w:w="0"/>
              <w:bottom w:type="dxa" w:w="30"/>
              <w:right w:type="dxa" w:w="0"/>
            </w:tcMar>
          </w:tcPr>
          <w:p>
            <w:r>
              <w:t xml:space="preserve"/>
            </w:r>
          </w:p>
        </w:tc>
        <w:tc>
          <w:tcPr>
            <w:tcBorders>
              <w:top w:val="none" w:color="FFFFFF" w:sz="0"/>
              <w:left w:val="none" w:color="FFFFFF" w:sz="0"/>
              <w:bottom w:val="none" w:color="FFFFFF" w:sz="0"/>
              <w:right w:val="none" w:color="FFFFFF" w:sz="0"/>
            </w:tcBorders>
            <w:shd w:fill="FFFFFF" w:val="clear"/>
          </w:tcPr>
          <w:p>
            <w:r>
              <w:t xml:space="preserve"/>
            </w:r>
          </w:p>
        </w:tc>
      </w:tr>
    </w:tbl>
    <w:tbl>
      <w:tblPr>
        <w:tblW w:type="dxa" w:w="12240"/>
        <w:tblBorders>
          <w:top w:val="single" w:color="auto" w:sz="4"/>
          <w:left w:val="single" w:color="auto" w:sz="4"/>
          <w:bottom w:val="single" w:color="auto" w:sz="4"/>
          <w:right w:val="single" w:color="auto" w:sz="4"/>
          <w:insideH w:val="single" w:color="auto" w:sz="4"/>
          <w:insideV w:val="single" w:color="auto" w:sz="4"/>
        </w:tblBorders>
      </w:tblPr>
      <w:tblGrid>
        <w:gridCol w:w="3060"/>
        <w:gridCol w:w="3060"/>
        <w:gridCol w:w="3060"/>
        <w:gridCol w:w="3060"/>
      </w:tblGrid>
      <w:tr>
        <w:tc>
          <w:tcPr>
            <w:tcBorders>
              <w:top w:val="none" w:color="FFFFFF" w:sz="0"/>
              <w:left w:val="none" w:color="FFFFFF" w:sz="0"/>
              <w:bottom w:val="none" w:color="FFFFFF" w:sz="0"/>
              <w:right w:val="none" w:color="FFFFFF" w:sz="0"/>
            </w:tcBorders>
            <w:shd w:fill="0A2647" w:val="clear"/>
            <w:tcMar>
              <w:top w:type="dxa" w:w="160"/>
              <w:left w:type="dxa" w:w="200"/>
              <w:bottom w:type="dxa" w:w="160"/>
              <w:right w:type="dxa" w:w="200"/>
            </w:tcMar>
          </w:tcPr>
          <w:p>
            <w:pPr>
              <w:jc w:val="center"/>
            </w:pPr>
            <w:r>
              <w:rPr>
                <w:rFonts w:ascii="Arial" w:cs="Arial" w:eastAsia="Arial" w:hAnsi="Arial"/>
                <w:b/>
                <w:bCs/>
                <w:color w:val="FFFFFF"/>
                <w:sz w:val="48"/>
                <w:szCs w:val="48"/>
              </w:rPr>
              <w:t xml:space="preserve">$303B</w:t>
            </w:r>
          </w:p>
          <w:p>
            <w:pPr>
              <w:jc w:val="center"/>
            </w:pPr>
            <w:r>
              <w:rPr>
                <w:rFonts w:ascii="Arial" w:cs="Arial" w:eastAsia="Arial" w:hAnsi="Arial"/>
                <w:color w:val="90CAF9"/>
                <w:sz w:val="16"/>
                <w:szCs w:val="16"/>
              </w:rPr>
              <w:t xml:space="preserve">Global AI in RE Market (2025)</w:t>
            </w:r>
          </w:p>
          <w:p>
            <w:pPr>
              <w:jc w:val="center"/>
            </w:pPr>
            <w:r>
              <w:rPr>
                <w:rFonts w:ascii="Arial" w:cs="Arial" w:eastAsia="Arial" w:hAnsi="Arial"/>
                <w:i/>
                <w:iCs/>
                <w:color w:val="64B5F6"/>
                <w:sz w:val="14"/>
                <w:szCs w:val="14"/>
              </w:rPr>
              <w:t xml:space="preserve">→ $1.3T by 2030</w:t>
            </w:r>
          </w:p>
        </w:tc>
        <w:tc>
          <w:tcPr>
            <w:tcBorders>
              <w:top w:val="none" w:color="FFFFFF" w:sz="0"/>
              <w:left w:val="none" w:color="FFFFFF" w:sz="0"/>
              <w:bottom w:val="none" w:color="FFFFFF" w:sz="0"/>
              <w:right w:val="none" w:color="FFFFFF" w:sz="0"/>
            </w:tcBorders>
            <w:shd w:fill="0A2647" w:val="clear"/>
            <w:tcMar>
              <w:top w:type="dxa" w:w="160"/>
              <w:left w:type="dxa" w:w="200"/>
              <w:bottom w:type="dxa" w:w="160"/>
              <w:right w:type="dxa" w:w="200"/>
            </w:tcMar>
          </w:tcPr>
          <w:p>
            <w:pPr>
              <w:jc w:val="center"/>
            </w:pPr>
            <w:r>
              <w:rPr>
                <w:rFonts w:ascii="Arial" w:cs="Arial" w:eastAsia="Arial" w:hAnsi="Arial"/>
                <w:b/>
                <w:bCs/>
                <w:color w:val="FFFFFF"/>
                <w:sz w:val="48"/>
                <w:szCs w:val="48"/>
              </w:rPr>
              <w:t xml:space="preserve">$430–550B</w:t>
            </w:r>
          </w:p>
          <w:p>
            <w:pPr>
              <w:jc w:val="center"/>
            </w:pPr>
            <w:r>
              <w:rPr>
                <w:rFonts w:ascii="Arial" w:cs="Arial" w:eastAsia="Arial" w:hAnsi="Arial"/>
                <w:color w:val="90CAF9"/>
                <w:sz w:val="16"/>
                <w:szCs w:val="16"/>
              </w:rPr>
              <w:t xml:space="preserve">Productivity Upside (McKinsey)</w:t>
            </w:r>
          </w:p>
          <w:p>
            <w:pPr>
              <w:jc w:val="center"/>
            </w:pPr>
            <w:r>
              <w:rPr>
                <w:rFonts w:ascii="Arial" w:cs="Arial" w:eastAsia="Arial" w:hAnsi="Arial"/>
                <w:i/>
                <w:iCs/>
                <w:color w:val="64B5F6"/>
                <w:sz w:val="14"/>
                <w:szCs w:val="14"/>
              </w:rPr>
              <w:t xml:space="preserve">Annual gains</w:t>
            </w:r>
          </w:p>
        </w:tc>
        <w:tc>
          <w:tcPr>
            <w:tcBorders>
              <w:top w:val="none" w:color="FFFFFF" w:sz="0"/>
              <w:left w:val="none" w:color="FFFFFF" w:sz="0"/>
              <w:bottom w:val="none" w:color="FFFFFF" w:sz="0"/>
              <w:right w:val="none" w:color="FFFFFF" w:sz="0"/>
            </w:tcBorders>
            <w:shd w:fill="0A2647" w:val="clear"/>
            <w:tcMar>
              <w:top w:type="dxa" w:w="160"/>
              <w:left w:type="dxa" w:w="200"/>
              <w:bottom w:type="dxa" w:w="160"/>
              <w:right w:type="dxa" w:w="200"/>
            </w:tcMar>
          </w:tcPr>
          <w:p>
            <w:pPr>
              <w:jc w:val="center"/>
            </w:pPr>
            <w:r>
              <w:rPr>
                <w:rFonts w:ascii="Arial" w:cs="Arial" w:eastAsia="Arial" w:hAnsi="Arial"/>
                <w:b/>
                <w:bCs/>
                <w:color w:val="FFFFFF"/>
                <w:sz w:val="48"/>
                <w:szCs w:val="48"/>
              </w:rPr>
              <w:t xml:space="preserve">10/23</w:t>
            </w:r>
          </w:p>
          <w:p>
            <w:pPr>
              <w:jc w:val="center"/>
            </w:pPr>
            <w:r>
              <w:rPr>
                <w:rFonts w:ascii="Arial" w:cs="Arial" w:eastAsia="Arial" w:hAnsi="Arial"/>
                <w:color w:val="90CAF9"/>
                <w:sz w:val="16"/>
                <w:szCs w:val="16"/>
              </w:rPr>
              <w:t xml:space="preserve">AI-Outperforming Tasks</w:t>
            </w:r>
          </w:p>
          <w:p>
            <w:pPr>
              <w:jc w:val="center"/>
            </w:pPr>
            <w:r>
              <w:rPr>
                <w:rFonts w:ascii="Arial" w:cs="Arial" w:eastAsia="Arial" w:hAnsi="Arial"/>
                <w:i/>
                <w:iCs/>
                <w:color w:val="64B5F6"/>
                <w:sz w:val="14"/>
                <w:szCs w:val="14"/>
              </w:rPr>
              <w:t xml:space="preserve">Alloy Advisors 2026</w:t>
            </w:r>
          </w:p>
        </w:tc>
        <w:tc>
          <w:tcPr>
            <w:tcBorders>
              <w:top w:val="none" w:color="FFFFFF" w:sz="0"/>
              <w:left w:val="none" w:color="FFFFFF" w:sz="0"/>
              <w:bottom w:val="none" w:color="FFFFFF" w:sz="0"/>
              <w:right w:val="none" w:color="FFFFFF" w:sz="0"/>
            </w:tcBorders>
            <w:shd w:fill="0A2647" w:val="clear"/>
            <w:tcMar>
              <w:top w:type="dxa" w:w="160"/>
              <w:left w:type="dxa" w:w="200"/>
              <w:bottom w:type="dxa" w:w="160"/>
              <w:right w:type="dxa" w:w="200"/>
            </w:tcMar>
          </w:tcPr>
          <w:p>
            <w:pPr>
              <w:jc w:val="center"/>
            </w:pPr>
            <w:r>
              <w:rPr>
                <w:rFonts w:ascii="Arial" w:cs="Arial" w:eastAsia="Arial" w:hAnsi="Arial"/>
                <w:b/>
                <w:bCs/>
                <w:color w:val="FFFFFF"/>
                <w:sz w:val="48"/>
                <w:szCs w:val="48"/>
              </w:rPr>
              <w:t xml:space="preserve">44.6%</w:t>
            </w:r>
          </w:p>
          <w:p>
            <w:pPr>
              <w:jc w:val="center"/>
            </w:pPr>
            <w:r>
              <w:rPr>
                <w:rFonts w:ascii="Arial" w:cs="Arial" w:eastAsia="Arial" w:hAnsi="Arial"/>
                <w:color w:val="90CAF9"/>
                <w:sz w:val="16"/>
                <w:szCs w:val="16"/>
              </w:rPr>
              <w:t xml:space="preserve">Agentic AI Market CAGR</w:t>
            </w:r>
          </w:p>
          <w:p>
            <w:pPr>
              <w:jc w:val="center"/>
            </w:pPr>
            <w:r>
              <w:rPr>
                <w:rFonts w:ascii="Arial" w:cs="Arial" w:eastAsia="Arial" w:hAnsi="Arial"/>
                <w:i/>
                <w:iCs/>
                <w:color w:val="64B5F6"/>
                <w:sz w:val="14"/>
                <w:szCs w:val="14"/>
              </w:rPr>
              <w:t xml:space="preserve">2025–2032</w:t>
            </w:r>
          </w:p>
        </w:tc>
      </w:tr>
    </w:tbl>
    <w:tbl>
      <w:tblPr>
        <w:tblW w:type="dxa" w:w="12240"/>
        <w:tblBorders>
          <w:top w:val="single" w:color="auto" w:sz="4"/>
          <w:left w:val="single" w:color="auto" w:sz="4"/>
          <w:bottom w:val="single" w:color="auto" w:sz="4"/>
          <w:right w:val="single" w:color="auto" w:sz="4"/>
          <w:insideH w:val="single" w:color="auto" w:sz="4"/>
          <w:insideV w:val="single" w:color="auto" w:sz="4"/>
        </w:tblBorders>
      </w:tblPr>
      <w:tblGrid>
        <w:gridCol w:w="12240"/>
      </w:tblGrid>
      <w:tr>
        <w:tc>
          <w:tcPr>
            <w:tcBorders>
              <w:top w:val="none" w:color="FFFFFF" w:sz="0"/>
              <w:left w:val="none" w:color="FFFFFF" w:sz="0"/>
              <w:bottom w:val="none" w:color="FFFFFF" w:sz="0"/>
              <w:right w:val="none" w:color="FFFFFF" w:sz="0"/>
            </w:tcBorders>
            <w:shd w:fill="0A2647" w:val="clear"/>
            <w:tcMar>
              <w:top w:type="dxa" w:w="300"/>
              <w:left w:type="dxa" w:w="1440"/>
              <w:bottom w:type="dxa" w:w="300"/>
              <w:right w:type="dxa" w:w="144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shd w:fill="0A2647" w:val="clear"/>
                </w:tcPr>
                <w:p>
                  <w:r>
                    <w:rPr>
                      <w:rFonts w:ascii="Arial" w:cs="Arial" w:eastAsia="Arial" w:hAnsi="Arial"/>
                      <w:color w:val="90CAF9"/>
                      <w:sz w:val="18"/>
                      <w:szCs w:val="18"/>
                    </w:rPr>
                    <w:t xml:space="preserve">June 2026</w:t>
                  </w:r>
                </w:p>
                <w:p>
                  <w:r>
                    <w:rPr>
                      <w:rFonts w:ascii="Arial" w:cs="Arial" w:eastAsia="Arial" w:hAnsi="Arial"/>
                      <w:b/>
                      <w:bCs/>
                      <w:color w:val="FFFFFF"/>
                      <w:sz w:val="18"/>
                      <w:szCs w:val="18"/>
                    </w:rPr>
                    <w:t xml:space="preserve">CR Equity AI Research Division</w:t>
                  </w:r>
                </w:p>
              </w:tc>
              <w:tc>
                <w:tcPr>
                  <w:tcBorders>
                    <w:top w:val="none" w:color="FFFFFF" w:sz="0"/>
                    <w:left w:val="none" w:color="FFFFFF" w:sz="0"/>
                    <w:bottom w:val="none" w:color="FFFFFF" w:sz="0"/>
                    <w:right w:val="none" w:color="FFFFFF" w:sz="0"/>
                  </w:tcBorders>
                  <w:shd w:fill="0A2647" w:val="clear"/>
                </w:tcPr>
                <w:p>
                  <w:pPr>
                    <w:jc w:val="right"/>
                  </w:pPr>
                  <w:r>
                    <w:rPr>
                      <w:rFonts w:ascii="Arial" w:cs="Arial" w:eastAsia="Arial" w:hAnsi="Arial"/>
                      <w:color w:val="64B5F6"/>
                      <w:sz w:val="14"/>
                      <w:szCs w:val="14"/>
                    </w:rPr>
                    <w:t xml:space="preserve">CONFIDENTIAL &amp; PROPRIETARY</w:t>
                  </w:r>
                </w:p>
                <w:p>
                  <w:pPr>
                    <w:jc w:val="right"/>
                  </w:pPr>
                  <w:r>
                    <w:rPr>
                      <w:rFonts w:ascii="Arial" w:cs="Arial" w:eastAsia="Arial" w:hAnsi="Arial"/>
                      <w:color w:val="90CAF9"/>
                      <w:sz w:val="18"/>
                      <w:szCs w:val="18"/>
                    </w:rPr>
                    <w:t xml:space="preserve">crequity.ai</w:t>
                  </w:r>
                </w:p>
              </w:tc>
            </w:tr>
          </w:tbl>
          <w:p/>
        </w:tc>
      </w:tr>
    </w:tbl>
    <w:p>
      <w:pPr>
        <w:sectPr>
          <w:pgSz w:w="12240" w:h="15840" w:orient="portrait"/>
          <w:pgMar w:top="0" w:right="0" w:bottom="0" w:left="0" w:header="708" w:footer="708" w:gutter="0"/>
          <w:pgNumType/>
          <w:docGrid w:linePitch="360"/>
        </w:sectPr>
      </w:pPr>
    </w:p>
    <w:p>
      <w:pPr>
        <w:pStyle w:val="Heading1"/>
        <w:spacing w:after="120" w:before="320"/>
      </w:pPr>
      <w:r>
        <w:rPr>
          <w:rFonts w:ascii="Arial" w:cs="Arial" w:eastAsia="Arial" w:hAnsi="Arial"/>
          <w:b/>
          <w:bCs/>
          <w:color w:val="0A2647"/>
          <w:sz w:val="32"/>
          <w:szCs w:val="32"/>
        </w:rPr>
        <w:t xml:space="preserve">Executive Summary</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The real estate brokerage profession is undergoing its most consequential structural transformation in a century. Agentic artificial intelligence — systems capable of autonomous, multi-step reasoning and action — has moved from theoretical possibility to operational reality, compressing timelines that once took weeks into hours, commoditizing tasks that once justified premium commissions, and enabling an entirely new class of fintech platforms to displace the traditional brick-and-mortar brokerage model.</w:t>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2800"/>
        <w:gridCol w:w="2760"/>
      </w:tblGrid>
      <w:tr>
        <w:trPr>
          <w:tblHeader/>
        </w:trPr>
        <w:tc>
          <w:tcPr>
            <w:tcW w:type="dxa" w:w="38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Metric</w:t>
            </w:r>
          </w:p>
        </w:tc>
        <w:tc>
          <w:tcPr>
            <w:tcW w:type="dxa" w:w="28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Value</w:t>
            </w:r>
          </w:p>
        </w:tc>
        <w:tc>
          <w:tcPr>
            <w:tcW w:type="dxa" w:w="276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Source</w:t>
            </w:r>
          </w:p>
        </w:tc>
      </w:tr>
      <w:tr>
        <w:tc>
          <w:tcPr>
            <w:tcW w:type="dxa" w:w="3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Global AI in RE Market (2025)</w:t>
            </w:r>
          </w:p>
        </w:tc>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$303 Billion</w:t>
            </w:r>
          </w:p>
        </w:tc>
        <w:tc>
          <w:tcPr>
            <w:tcW w:type="dxa" w:w="27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Research &amp; Markets</w:t>
            </w:r>
          </w:p>
        </w:tc>
      </w:tr>
      <w:tr>
        <w:tc>
          <w:tcPr>
            <w:tcW w:type="dxa" w:w="3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Projected Market Size (2030)</w:t>
            </w:r>
          </w:p>
        </w:tc>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$1.3 Trillion</w:t>
            </w:r>
          </w:p>
        </w:tc>
        <w:tc>
          <w:tcPr>
            <w:tcW w:type="dxa" w:w="27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Research &amp; Markets</w:t>
            </w:r>
          </w:p>
        </w:tc>
      </w:tr>
      <w:tr>
        <w:tc>
          <w:tcPr>
            <w:tcW w:type="dxa" w:w="3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McKinsey Productivity Uplift</w:t>
            </w:r>
          </w:p>
        </w:tc>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$430B–$550B annually</w:t>
            </w:r>
          </w:p>
        </w:tc>
        <w:tc>
          <w:tcPr>
            <w:tcW w:type="dxa" w:w="27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McKinsey (March 2026)</w:t>
            </w:r>
          </w:p>
        </w:tc>
      </w:tr>
      <w:tr>
        <w:tc>
          <w:tcPr>
            <w:tcW w:type="dxa" w:w="3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Tasks AI Outperforms Agents</w:t>
            </w:r>
          </w:p>
        </w:tc>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10 of 23</w:t>
            </w:r>
          </w:p>
        </w:tc>
        <w:tc>
          <w:tcPr>
            <w:tcW w:type="dxa" w:w="27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Alloy Advisors (June 2026)</w:t>
            </w:r>
          </w:p>
        </w:tc>
      </w:tr>
      <w:tr>
        <w:tc>
          <w:tcPr>
            <w:tcW w:type="dxa" w:w="3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Tasks with Clear Human Edge</w:t>
            </w:r>
          </w:p>
        </w:tc>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3 of 23</w:t>
            </w:r>
          </w:p>
        </w:tc>
        <w:tc>
          <w:tcPr>
            <w:tcW w:type="dxa" w:w="27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Alloy Advisors (June 2026)</w:t>
            </w:r>
          </w:p>
        </w:tc>
      </w:tr>
      <w:tr>
        <w:tc>
          <w:tcPr>
            <w:tcW w:type="dxa" w:w="3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Commission Standard Forecast Break</w:t>
            </w:r>
          </w:p>
        </w:tc>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Within 5–7 years</w:t>
            </w:r>
          </w:p>
        </w:tc>
        <w:tc>
          <w:tcPr>
            <w:tcW w:type="dxa" w:w="27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Alloy Advisors (June 2026)</w:t>
            </w:r>
          </w:p>
        </w:tc>
      </w:tr>
      <w:tr>
        <w:tc>
          <w:tcPr>
            <w:tcW w:type="dxa" w:w="3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Agentic AI Market CAGR (2025–32)</w:t>
            </w:r>
          </w:p>
        </w:tc>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44.6%</w:t>
            </w:r>
          </w:p>
        </w:tc>
        <w:tc>
          <w:tcPr>
            <w:tcW w:type="dxa" w:w="27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MarketsandMarkets</w:t>
            </w:r>
          </w:p>
        </w:tc>
      </w:tr>
      <w:tr>
        <w:tc>
          <w:tcPr>
            <w:tcW w:type="dxa" w:w="3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PropTech Investment (2025)</w:t>
            </w:r>
          </w:p>
        </w:tc>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$16.7 Billion</w:t>
            </w:r>
          </w:p>
        </w:tc>
        <w:tc>
          <w:tcPr>
            <w:tcW w:type="dxa" w:w="27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AI Consulting Network</w:t>
            </w:r>
          </w:p>
        </w:tc>
      </w:tr>
    </w:tbl>
    <w:p>
      <w:pPr>
        <w:spacing w:after="0" w:before="80"/>
      </w:pPr>
      <w:r>
        <w:t xml:space="preserve"/>
      </w:r>
    </w:p>
    <w:p>
      <w:pPr>
        <w:spacing w:after="60" w:before="60"/>
        <w:jc w:val="both"/>
      </w:pPr>
      <w:r>
        <w:rPr>
          <w:rFonts w:ascii="Arial" w:cs="Arial" w:eastAsia="Arial" w:hAnsi="Arial"/>
          <w:color w:val="263238"/>
          <w:sz w:val="20"/>
          <w:szCs w:val="20"/>
        </w:rPr>
        <w:t xml:space="preserve">Against this backdrop, fintech platforms like CR Equity AI are not merely augmenting the traditional brokerage model — they are replacing its most capital-intensive functions. CR Equity AI's AIVAA valuation engine produces MAI-grade commercial property appraisals in under two hours, replacing a process that traditionally cost $4,346 and took two to four weeks. Its automated underwriting delivers loan decisions in four hours versus the industry standard of 30 to 90 days.</w:t>
      </w:r>
    </w:p>
    <w:p>
      <w:pPr>
        <w:spacing w:after="0" w:before="40"/>
      </w:pPr>
      <w:r>
        <w:t xml:space="preserve"/>
      </w:r>
    </w:p>
    <w:p>
      <w:pPr>
        <w:spacing w:after="60" w:before="60"/>
        <w:jc w:val="both"/>
      </w:pPr>
      <w:r>
        <w:rPr>
          <w:rFonts w:ascii="Arial" w:cs="Arial" w:eastAsia="Arial" w:hAnsi="Arial"/>
          <w:color w:val="263238"/>
          <w:sz w:val="20"/>
          <w:szCs w:val="20"/>
        </w:rPr>
        <w:t xml:space="preserve">This report provides a comprehensive analysis of agentic AI's impact on the real estate brokerage profession, structured around three forecast horizons: 12 months (2026–2027), 3 years (2028–2029), and 5 years (2030–2031). It examines how platforms like CR Equity AI are accelerating the structural shift away from relationship-dependent, office-anchored brokerage toward intelligent, cloud-native, data-driven transaction infrastructure.</w:t>
      </w:r>
    </w:p>
    <w:p>
      <w:pPr>
        <w:pStyle w:val="Heading1"/>
        <w:spacing w:after="120" w:before="320"/>
      </w:pPr>
      <w:r>
        <w:rPr>
          <w:rFonts w:ascii="Arial" w:cs="Arial" w:eastAsia="Arial" w:hAnsi="Arial"/>
          <w:b/>
          <w:bCs/>
          <w:color w:val="0A2647"/>
          <w:sz w:val="32"/>
          <w:szCs w:val="32"/>
        </w:rPr>
        <w:t xml:space="preserve">1. Defining Agentic AI in the Real Estate Context</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Agentic AI represents a qualitative leap beyond the generative AI tools that first captured industry attention in 2022 and 2023. Where generative AI answers questions and drafts content, agentic AI acts — it pursues goals, adapts to changing circumstances, coordinates across multiple systems, and executes multi-step workflows without continuous human direction.</w:t>
      </w:r>
    </w:p>
    <w:p>
      <w:pPr>
        <w:spacing w:after="0" w:before="40"/>
      </w:pPr>
      <w:r>
        <w:t xml:space="preserve"/>
      </w:r>
    </w:p>
    <w:p>
      <w:pPr>
        <w:spacing w:after="60" w:before="60"/>
        <w:jc w:val="both"/>
      </w:pPr>
      <w:r>
        <w:rPr>
          <w:rFonts w:ascii="Arial" w:cs="Arial" w:eastAsia="Arial" w:hAnsi="Arial"/>
          <w:color w:val="263238"/>
          <w:sz w:val="20"/>
          <w:szCs w:val="20"/>
        </w:rPr>
        <w:t xml:space="preserve">In the real estate context, an agentic system does not merely draft a listing description or summarize a market report. It can capture a lead, analyze the buyer's behavioral and financial signals, recommend properties, schedule tours, adjust pricing suggestions, prepare documentation, flag compliance requirements, and escalate negotiation moments to a human agent — all within a single orchestrated, autonomous flow.</w:t>
      </w:r>
    </w:p>
    <w:p>
      <w:pPr>
        <w:spacing w:after="0" w:before="40"/>
      </w:pPr>
      <w:r>
        <w:t xml:space="preserve"/>
      </w:r>
    </w:p>
    <w:p>
      <w:pPr>
        <w:spacing w:after="60" w:before="60"/>
        <w:jc w:val="both"/>
      </w:pPr>
      <w:r>
        <w:rPr>
          <w:rFonts w:ascii="Arial" w:cs="Arial" w:eastAsia="Arial" w:hAnsi="Arial"/>
          <w:color w:val="263238"/>
          <w:sz w:val="20"/>
          <w:szCs w:val="20"/>
        </w:rPr>
        <w:t xml:space="preserve">The distinction matters enormously for the brokerage profession. First-generation AI tools threatened to make individual tasks faster and cheaper. Agentic AI threatens to make entire workflows — from lead generation through closing — executable without a licensed human intermediary at every step.</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500"/>
        <w:gridCol w:w="2500"/>
        <w:gridCol w:w="1360"/>
      </w:tblGrid>
      <w:tr>
        <w:trPr>
          <w:tblHeader/>
        </w:trPr>
        <w:tc>
          <w:tcPr>
            <w:tcW w:type="dxa" w:w="30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Metric</w:t>
            </w:r>
          </w:p>
        </w:tc>
        <w:tc>
          <w:tcPr>
            <w:tcW w:type="dxa" w:w="25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2025 Value</w:t>
            </w:r>
          </w:p>
        </w:tc>
        <w:tc>
          <w:tcPr>
            <w:tcW w:type="dxa" w:w="25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2032 Projection</w:t>
            </w:r>
          </w:p>
        </w:tc>
        <w:tc>
          <w:tcPr>
            <w:tcW w:type="dxa" w:w="136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CAGR</w:t>
            </w:r>
          </w:p>
        </w:tc>
      </w:tr>
      <w:tr>
        <w:tc>
          <w:tcPr>
            <w:tcW w:type="dxa" w:w="30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Agentic AI Market (Global)</w:t>
            </w:r>
          </w:p>
        </w:tc>
        <w:tc>
          <w:tcPr>
            <w:tcW w:type="dxa" w:w="25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$7.06 Billion</w:t>
            </w:r>
          </w:p>
        </w:tc>
        <w:tc>
          <w:tcPr>
            <w:tcW w:type="dxa" w:w="25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$93.20 Billion</w:t>
            </w:r>
          </w:p>
        </w:tc>
        <w:tc>
          <w:tcPr>
            <w:tcW w:type="dxa" w:w="13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44.6%</w:t>
            </w:r>
          </w:p>
        </w:tc>
      </w:tr>
      <w:tr>
        <w:tc>
          <w:tcPr>
            <w:tcW w:type="dxa" w:w="30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AI in Real Estate Market</w:t>
            </w:r>
          </w:p>
        </w:tc>
        <w:tc>
          <w:tcPr>
            <w:tcW w:type="dxa" w:w="25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$303 Billion</w:t>
            </w:r>
          </w:p>
        </w:tc>
        <w:tc>
          <w:tcPr>
            <w:tcW w:type="dxa" w:w="25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$1.3 Trillion (2030)</w:t>
            </w:r>
          </w:p>
        </w:tc>
        <w:tc>
          <w:tcPr>
            <w:tcW w:type="dxa" w:w="13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33.9%</w:t>
            </w:r>
          </w:p>
        </w:tc>
      </w:tr>
      <w:tr>
        <w:tc>
          <w:tcPr>
            <w:tcW w:type="dxa" w:w="30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PropTech Investment</w:t>
            </w:r>
          </w:p>
        </w:tc>
        <w:tc>
          <w:tcPr>
            <w:tcW w:type="dxa" w:w="25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$16.7 Billion/yr</w:t>
            </w:r>
          </w:p>
        </w:tc>
        <w:tc>
          <w:tcPr>
            <w:tcW w:type="dxa" w:w="25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Accelerating</w:t>
            </w:r>
          </w:p>
        </w:tc>
        <w:tc>
          <w:tcPr>
            <w:tcW w:type="dxa" w:w="13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67.9% YoY (2025)</w:t>
            </w:r>
          </w:p>
        </w:tc>
      </w:tr>
      <w:tr>
        <w:tc>
          <w:tcPr>
            <w:tcW w:type="dxa" w:w="30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Enterprise Apps with AI Agents</w:t>
            </w:r>
          </w:p>
        </w:tc>
        <w:tc>
          <w:tcPr>
            <w:tcW w:type="dxa" w:w="25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&lt;5%</w:t>
            </w:r>
          </w:p>
        </w:tc>
        <w:tc>
          <w:tcPr>
            <w:tcW w:type="dxa" w:w="25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40% (by end-2026)</w:t>
            </w:r>
          </w:p>
        </w:tc>
        <w:tc>
          <w:tcPr>
            <w:tcW w:type="dxa" w:w="13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Gartner forecast</w:t>
            </w:r>
          </w:p>
        </w:tc>
      </w:tr>
    </w:tbl>
    <w:p>
      <w:pPr>
        <w:pStyle w:val="Heading1"/>
        <w:spacing w:after="120" w:before="320"/>
      </w:pPr>
      <w:r>
        <w:rPr>
          <w:rFonts w:ascii="Arial" w:cs="Arial" w:eastAsia="Arial" w:hAnsi="Arial"/>
          <w:b/>
          <w:bCs/>
          <w:color w:val="0A2647"/>
          <w:sz w:val="32"/>
          <w:szCs w:val="32"/>
        </w:rPr>
        <w:t xml:space="preserve">2. The Current State of AI Adoption in Real Estate</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As of mid-2026, AI adoption in real estate is best characterized as widespread but shallow — broad in its reach across the industry, but still concentrated in augmentation rather than replacement. PwC's Emerging Trends in Real Estate 2026 report captures the current moment: job replacement is occurring but remains rare among real estate firms; job transformation and use-case exploration are more prevalent at this stage.</w:t>
      </w:r>
    </w:p>
    <w:p>
      <w:pPr>
        <w:spacing w:after="0" w:before="40"/>
      </w:pPr>
      <w:r>
        <w:t xml:space="preserve"/>
      </w:r>
    </w:p>
    <w:p>
      <w:pPr>
        <w:spacing w:after="60" w:before="60"/>
        <w:jc w:val="both"/>
      </w:pPr>
      <w:r>
        <w:rPr>
          <w:rFonts w:ascii="Arial" w:cs="Arial" w:eastAsia="Arial" w:hAnsi="Arial"/>
          <w:color w:val="263238"/>
          <w:sz w:val="20"/>
          <w:szCs w:val="20"/>
        </w:rPr>
        <w:t xml:space="preserve">The data supports this nuanced picture. Eighty-eight percent of real estate investors are already piloting AI tools. Zillow launched its AI Mode in March 2026, Redfin introduced its AI strategy in February 2026, and Realtor.com deployed AI features in October 2025 — all three major portals went AI simultaneously. Yet McKinsey's January 2025 Superagency report found that only 1% of companies describe themselves as mature in AI deployment, even as 92% plan to increase AI spending over the next three years.</w:t>
      </w:r>
    </w:p>
    <w:p>
      <w:pPr>
        <w:spacing w:after="0" w:before="40"/>
      </w:pPr>
      <w:r>
        <w:t xml:space="preserve"/>
      </w:r>
    </w:p>
    <w:p>
      <w:pPr>
        <w:spacing w:after="60" w:before="60"/>
        <w:jc w:val="both"/>
      </w:pPr>
      <w:r>
        <w:rPr>
          <w:rFonts w:ascii="Arial" w:cs="Arial" w:eastAsia="Arial" w:hAnsi="Arial"/>
          <w:color w:val="263238"/>
          <w:sz w:val="20"/>
          <w:szCs w:val="20"/>
        </w:rPr>
        <w:t xml:space="preserve">AI-centered proptech companies expanded at a 42% annualized growth rate in 2025, compared to 24% for non-AI proptech firms. Gartner expects 40% of enterprise applications to embed task-specific AI agents by the end of 2026, up from less than 5% in 2025. The wave is building; it has not yet crashed.</w:t>
      </w:r>
    </w:p>
    <w:p>
      <w:pPr>
        <w:spacing w:after="0" w:before="40"/>
      </w:pPr>
      <w:r>
        <w:t xml:space="preserve"/>
      </w:r>
    </w:p>
    <w:p>
      <w:pPr>
        <w:spacing w:after="60" w:before="60"/>
        <w:jc w:val="both"/>
      </w:pPr>
      <w:r>
        <w:rPr>
          <w:rFonts w:ascii="Arial" w:cs="Arial" w:eastAsia="Arial" w:hAnsi="Arial"/>
          <w:color w:val="263238"/>
          <w:sz w:val="20"/>
          <w:szCs w:val="20"/>
        </w:rPr>
        <w:t xml:space="preserve">The February 2026 AI scare trade crystallized investor anxiety about this trajectory. CBRE, which reported record annual revenue of $40.6 billion, saw its stock decline more than 20% over two trading sessions. JLL fell 14%, Cushman &amp; Wakefield dropped 13%, and Colliers fell 11%. The market was not reacting to current weakness — it was repricing future disruption risk, recognizing that the business models of large, labor-intensive advisory firms are structurally vulnerable to AI-native challengers whose marginal cost of analysis approaches zero.</w:t>
      </w:r>
    </w:p>
    <w:p>
      <w:pPr>
        <w:pStyle w:val="Heading1"/>
        <w:spacing w:after="120" w:before="320"/>
      </w:pPr>
      <w:r>
        <w:rPr>
          <w:rFonts w:ascii="Arial" w:cs="Arial" w:eastAsia="Arial" w:hAnsi="Arial"/>
          <w:b/>
          <w:bCs/>
          <w:color w:val="0A2647"/>
          <w:sz w:val="32"/>
          <w:szCs w:val="32"/>
        </w:rPr>
        <w:t xml:space="preserve">3. Task-Level Disruption: What AI Can and Cannot Do</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The most rigorous task-level analysis comes from the June 2026 Alloy Advisors report authored by industry veterans Amit Kulkarni and Russ Cofano. Their framework — examining 23 distinct tasks performed during a home sale — provides the clearest empirical basis for understanding where AI creates genuine disruption and where human judgment retains irreplaceable value.</w:t>
      </w:r>
    </w:p>
    <w:p>
      <w:pPr>
        <w:spacing w:after="0" w:before="60"/>
      </w:pPr>
      <w:r>
        <w:t xml:space="preserve"/>
      </w:r>
    </w:p>
    <w:p>
      <w:pPr>
        <w:pStyle w:val="Heading3"/>
        <w:spacing w:after="60" w:before="180"/>
      </w:pPr>
      <w:r>
        <w:rPr>
          <w:rFonts w:ascii="Arial" w:cs="Arial" w:eastAsia="Arial" w:hAnsi="Arial"/>
          <w:b/>
          <w:bCs/>
          <w:color w:val="0A2647"/>
          <w:sz w:val="22"/>
          <w:szCs w:val="22"/>
        </w:rPr>
        <w:t xml:space="preserve">Tier 1: Tasks AI Has Commoditized</w:t>
      </w:r>
    </w:p>
    <w:p>
      <w:pPr>
        <w:spacing w:after="60" w:before="60"/>
        <w:jc w:val="both"/>
      </w:pPr>
      <w:r>
        <w:rPr>
          <w:rFonts w:ascii="Arial" w:cs="Arial" w:eastAsia="Arial" w:hAnsi="Arial"/>
          <w:color w:val="263238"/>
          <w:sz w:val="20"/>
          <w:szCs w:val="20"/>
        </w:rPr>
        <w:t xml:space="preserve">AI now performs comparative market analyses, MLS data entry, listing descriptions, offer modeling, transaction coordination, and basic disclosure checks with greater speed, consistency, and lower cost than human agents. The pre-AI market value for this work was roughly $1,500 to $3,500 per listing. Today, the marginal cost for a competent AI user is close to zero.</w:t>
      </w:r>
    </w:p>
    <w:p>
      <w:pPr>
        <w:spacing w:after="0" w:before="40"/>
      </w:pPr>
      <w:r>
        <w:t xml:space="preserve"/>
      </w:r>
    </w:p>
    <w:p>
      <w:pPr>
        <w:spacing w:after="60" w:before="60"/>
        <w:jc w:val="both"/>
      </w:pPr>
      <w:r>
        <w:rPr>
          <w:rFonts w:ascii="Arial" w:cs="Arial" w:eastAsia="Arial" w:hAnsi="Arial"/>
          <w:color w:val="263238"/>
          <w:sz w:val="20"/>
          <w:szCs w:val="20"/>
        </w:rPr>
        <w:t xml:space="preserve">The operational evidence is compelling: agentic AI systems in commercial real estate report compressing site selection from months to days, due diligence from weeks to hours, and underwriting from days to minutes. Home builders using AI agents for lead response have seen response times improve by more than 90%. Rental organizations using AI-driven renewal workflows have improved renewal rates by 3% to 7%.</w:t>
      </w:r>
    </w:p>
    <w:p>
      <w:pPr>
        <w:spacing w:after="0" w:before="60"/>
      </w:pPr>
      <w:r>
        <w:t xml:space="preserve"/>
      </w:r>
    </w:p>
    <w:p>
      <w:pPr>
        <w:pStyle w:val="Heading3"/>
        <w:spacing w:after="60" w:before="180"/>
      </w:pPr>
      <w:r>
        <w:rPr>
          <w:rFonts w:ascii="Arial" w:cs="Arial" w:eastAsia="Arial" w:hAnsi="Arial"/>
          <w:b/>
          <w:bCs/>
          <w:color w:val="0A2647"/>
          <w:sz w:val="22"/>
          <w:szCs w:val="22"/>
        </w:rPr>
        <w:t xml:space="preserve">Tier 2: Tasks Requiring Human Judgment</w:t>
      </w:r>
    </w:p>
    <w:p>
      <w:pPr>
        <w:spacing w:after="60" w:before="60"/>
        <w:jc w:val="both"/>
      </w:pPr>
      <w:r>
        <w:rPr>
          <w:rFonts w:ascii="Arial" w:cs="Arial" w:eastAsia="Arial" w:hAnsi="Arial"/>
          <w:color w:val="263238"/>
          <w:sz w:val="20"/>
          <w:szCs w:val="20"/>
        </w:rPr>
        <w:t xml:space="preserve">Three tasks retain a clear, durable human advantage:</w:t>
      </w:r>
    </w:p>
    <w:p>
      <w:pPr>
        <w:spacing w:after="0" w:before="20"/>
      </w:pPr>
      <w:r>
        <w:t xml:space="preserve"/>
      </w:r>
    </w:p>
    <w:p>
      <w:pPr>
        <w:spacing w:after="40" w:before="80"/>
        <w:jc w:val="both"/>
      </w:pPr>
      <w:r>
        <w:rPr>
          <w:rFonts w:ascii="Arial" w:cs="Arial" w:eastAsia="Arial" w:hAnsi="Arial"/>
          <w:b/>
          <w:bCs/>
          <w:color w:val="0A2647"/>
          <w:sz w:val="20"/>
          <w:szCs w:val="20"/>
        </w:rPr>
        <w:t xml:space="preserve">Negotiation execution </w:t>
      </w:r>
      <w:r>
        <w:rPr>
          <w:rFonts w:ascii="Arial" w:cs="Arial" w:eastAsia="Arial" w:hAnsi="Arial"/>
          <w:color w:val="263238"/>
          <w:sz w:val="20"/>
          <w:szCs w:val="20"/>
        </w:rPr>
        <w:t xml:space="preserve">remains stubbornly human. A skilled agent acting as an active negotiator and buffer provides real, measurable value — and the Alloy Advisors report does not see this changing in the near term.</w:t>
      </w:r>
    </w:p>
    <w:p>
      <w:pPr>
        <w:spacing w:after="40" w:before="80"/>
        <w:jc w:val="both"/>
      </w:pPr>
      <w:r>
        <w:rPr>
          <w:rFonts w:ascii="Arial" w:cs="Arial" w:eastAsia="Arial" w:hAnsi="Arial"/>
          <w:b/>
          <w:bCs/>
          <w:color w:val="0A2647"/>
          <w:sz w:val="20"/>
          <w:szCs w:val="20"/>
        </w:rPr>
        <w:t xml:space="preserve">Hyperlocal tacit knowledge </w:t>
      </w:r>
      <w:r>
        <w:rPr>
          <w:rFonts w:ascii="Arial" w:cs="Arial" w:eastAsia="Arial" w:hAnsi="Arial"/>
          <w:color w:val="263238"/>
          <w:sz w:val="20"/>
          <w:szCs w:val="20"/>
        </w:rPr>
        <w:t xml:space="preserve">— the instinct for which street floods, which HOA is a headache, why one cul-de-sac commands a premium — lives in experience, not in any public dataset an AI can scrape.</w:t>
      </w:r>
    </w:p>
    <w:p>
      <w:pPr>
        <w:spacing w:after="40" w:before="80"/>
        <w:jc w:val="both"/>
      </w:pPr>
      <w:r>
        <w:rPr>
          <w:rFonts w:ascii="Arial" w:cs="Arial" w:eastAsia="Arial" w:hAnsi="Arial"/>
          <w:b/>
          <w:bCs/>
          <w:color w:val="0A2647"/>
          <w:sz w:val="20"/>
          <w:szCs w:val="20"/>
        </w:rPr>
        <w:t xml:space="preserve">Emotional support and crisis management </w:t>
      </w:r>
      <w:r>
        <w:rPr>
          <w:rFonts w:ascii="Arial" w:cs="Arial" w:eastAsia="Arial" w:hAnsi="Arial"/>
          <w:color w:val="263238"/>
          <w:sz w:val="20"/>
          <w:szCs w:val="20"/>
        </w:rPr>
        <w:t xml:space="preserve">during what is often the most stressful financial transaction of a person's life represents the third durable human advantage. Talking a seller through a failed inspection or a financing scare is human work that AI cannot replicate with the trust and empathy required.</w:t>
      </w:r>
    </w:p>
    <w:p>
      <w:pPr>
        <w:spacing w:after="0" w:before="60"/>
      </w:pPr>
      <w:r>
        <w:t xml:space="preserve"/>
      </w:r>
    </w:p>
    <w:p>
      <w:pPr>
        <w:spacing w:after="60" w:before="60"/>
        <w:jc w:val="both"/>
      </w:pPr>
      <w:r>
        <w:rPr>
          <w:rFonts w:ascii="Arial" w:cs="Arial" w:eastAsia="Arial" w:hAnsi="Arial"/>
          <w:color w:val="263238"/>
          <w:sz w:val="20"/>
          <w:szCs w:val="20"/>
        </w:rPr>
        <w:t xml:space="preserve">The CloudDon AI Agentification Index assigns Real Estate Brokers a score of 32.1 out of 100, placing the profession in the mid-to-long-term agentification category — meaning five or more years before significant automation impact. The critical insight: AI does not replace agents; it replaces average agents and rewards excellent ones.</w:t>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200"/>
        <w:gridCol w:w="2200"/>
        <w:gridCol w:w="2160"/>
      </w:tblGrid>
      <w:tr>
        <w:trPr>
          <w:tblHeader/>
        </w:trPr>
        <w:tc>
          <w:tcPr>
            <w:tcW w:type="dxa" w:w="28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Task Category</w:t>
            </w:r>
          </w:p>
        </w:tc>
        <w:tc>
          <w:tcPr>
            <w:tcW w:type="dxa" w:w="22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AI Advantage</w:t>
            </w:r>
          </w:p>
        </w:tc>
        <w:tc>
          <w:tcPr>
            <w:tcW w:type="dxa" w:w="22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Human Advantage</w:t>
            </w:r>
          </w:p>
        </w:tc>
        <w:tc>
          <w:tcPr>
            <w:tcW w:type="dxa" w:w="216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Timeline</w:t>
            </w:r>
          </w:p>
        </w:tc>
      </w:tr>
      <w:tr>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CMA / Market Analysis</w:t>
            </w:r>
          </w:p>
        </w:tc>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High (90%+)</w:t>
            </w:r>
          </w:p>
        </w:tc>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Low</w:t>
            </w:r>
          </w:p>
        </w:tc>
        <w:tc>
          <w:tcPr>
            <w:tcW w:type="dxa" w:w="21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Commoditized now</w:t>
            </w:r>
          </w:p>
        </w:tc>
      </w:tr>
      <w:tr>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MLS Data Entry</w:t>
            </w:r>
          </w:p>
        </w:tc>
        <w:tc>
          <w:tcPr>
            <w:tcW w:type="dxa" w:w="22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High (95%+)</w:t>
            </w:r>
          </w:p>
        </w:tc>
        <w:tc>
          <w:tcPr>
            <w:tcW w:type="dxa" w:w="22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Low</w:t>
            </w:r>
          </w:p>
        </w:tc>
        <w:tc>
          <w:tcPr>
            <w:tcW w:type="dxa" w:w="21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Commoditized now</w:t>
            </w:r>
          </w:p>
        </w:tc>
      </w:tr>
      <w:tr>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Lead Nurturing / CRM</w:t>
            </w:r>
          </w:p>
        </w:tc>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High (85%+)</w:t>
            </w:r>
          </w:p>
        </w:tc>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Low</w:t>
            </w:r>
          </w:p>
        </w:tc>
        <w:tc>
          <w:tcPr>
            <w:tcW w:type="dxa" w:w="21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Commoditized now</w:t>
            </w:r>
          </w:p>
        </w:tc>
      </w:tr>
      <w:tr>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Transaction Coordination</w:t>
            </w:r>
          </w:p>
        </w:tc>
        <w:tc>
          <w:tcPr>
            <w:tcW w:type="dxa" w:w="22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High (80%+)</w:t>
            </w:r>
          </w:p>
        </w:tc>
        <w:tc>
          <w:tcPr>
            <w:tcW w:type="dxa" w:w="22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Low</w:t>
            </w:r>
          </w:p>
        </w:tc>
        <w:tc>
          <w:tcPr>
            <w:tcW w:type="dxa" w:w="21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Commoditized now</w:t>
            </w:r>
          </w:p>
        </w:tc>
      </w:tr>
      <w:tr>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Offer Modeling</w:t>
            </w:r>
          </w:p>
        </w:tc>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High (80%+)</w:t>
            </w:r>
          </w:p>
        </w:tc>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Moderate</w:t>
            </w:r>
          </w:p>
        </w:tc>
        <w:tc>
          <w:tcPr>
            <w:tcW w:type="dxa" w:w="21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Commoditized now</w:t>
            </w:r>
          </w:p>
        </w:tc>
      </w:tr>
      <w:tr>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Property Valuation (Standard)</w:t>
            </w:r>
          </w:p>
        </w:tc>
        <w:tc>
          <w:tcPr>
            <w:tcW w:type="dxa" w:w="22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High (75%+)</w:t>
            </w:r>
          </w:p>
        </w:tc>
        <w:tc>
          <w:tcPr>
            <w:tcW w:type="dxa" w:w="22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Moderate</w:t>
            </w:r>
          </w:p>
        </w:tc>
        <w:tc>
          <w:tcPr>
            <w:tcW w:type="dxa" w:w="21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Largely automated</w:t>
            </w:r>
          </w:p>
        </w:tc>
      </w:tr>
      <w:tr>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Negotiation Execution</w:t>
            </w:r>
          </w:p>
        </w:tc>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Low (&lt;30%)</w:t>
            </w:r>
          </w:p>
        </w:tc>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Very High</w:t>
            </w:r>
          </w:p>
        </w:tc>
        <w:tc>
          <w:tcPr>
            <w:tcW w:type="dxa" w:w="21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5+ years durable</w:t>
            </w:r>
          </w:p>
        </w:tc>
      </w:tr>
      <w:tr>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Hyperlocal Market Knowledge</w:t>
            </w:r>
          </w:p>
        </w:tc>
        <w:tc>
          <w:tcPr>
            <w:tcW w:type="dxa" w:w="22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Low (&lt;25%)</w:t>
            </w:r>
          </w:p>
        </w:tc>
        <w:tc>
          <w:tcPr>
            <w:tcW w:type="dxa" w:w="22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Very High</w:t>
            </w:r>
          </w:p>
        </w:tc>
        <w:tc>
          <w:tcPr>
            <w:tcW w:type="dxa" w:w="21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5+ years durable</w:t>
            </w:r>
          </w:p>
        </w:tc>
      </w:tr>
      <w:tr>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Emotional Support / Crisis Mgmt</w:t>
            </w:r>
          </w:p>
        </w:tc>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Very Low (&lt;15%)</w:t>
            </w:r>
          </w:p>
        </w:tc>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Critical</w:t>
            </w:r>
          </w:p>
        </w:tc>
        <w:tc>
          <w:tcPr>
            <w:tcW w:type="dxa" w:w="21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Durable advantage</w:t>
            </w:r>
          </w:p>
        </w:tc>
      </w:tr>
    </w:tbl>
    <w:p>
      <w:pPr>
        <w:pStyle w:val="Heading1"/>
        <w:spacing w:after="120" w:before="320"/>
      </w:pPr>
      <w:r>
        <w:rPr>
          <w:rFonts w:ascii="Arial" w:cs="Arial" w:eastAsia="Arial" w:hAnsi="Arial"/>
          <w:b/>
          <w:bCs/>
          <w:color w:val="0A2647"/>
          <w:sz w:val="32"/>
          <w:szCs w:val="32"/>
        </w:rPr>
        <w:t xml:space="preserve">4. The Commission Model Under Siege</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The traditional real estate commission structure — a percentage-based fee bundled into a single, undifferentiated charge regardless of agent skill or transaction complexity — is facing its most serious structural challenge in the industry's history. On a typical $400,000 home sale, total hard transaction costs amount to $39,660 (approximately 9.92% of the sale price). Real estate commissions account for $23,000 of this total (5.75% and 76% of all seller-paid friction).</w:t>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2800"/>
        <w:gridCol w:w="2760"/>
      </w:tblGrid>
      <w:tr>
        <w:trPr>
          <w:tblHeader/>
        </w:trPr>
        <w:tc>
          <w:tcPr>
            <w:tcW w:type="dxa" w:w="38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Metric</w:t>
            </w:r>
          </w:p>
        </w:tc>
        <w:tc>
          <w:tcPr>
            <w:tcW w:type="dxa" w:w="28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Value</w:t>
            </w:r>
          </w:p>
        </w:tc>
        <w:tc>
          <w:tcPr>
            <w:tcW w:type="dxa" w:w="276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Source</w:t>
            </w:r>
          </w:p>
        </w:tc>
      </w:tr>
      <w:tr>
        <w:tc>
          <w:tcPr>
            <w:tcW w:type="dxa" w:w="3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Average U.S. Commission (mid-2025)</w:t>
            </w:r>
          </w:p>
        </w:tc>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5.44%</w:t>
            </w:r>
          </w:p>
        </w:tc>
        <w:tc>
          <w:tcPr>
            <w:tcW w:type="dxa" w:w="27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Clever Real Estate / Redfin</w:t>
            </w:r>
          </w:p>
        </w:tc>
      </w:tr>
      <w:tr>
        <w:tc>
          <w:tcPr>
            <w:tcW w:type="dxa" w:w="3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Total Transaction Cost on $400K Sale</w:t>
            </w:r>
          </w:p>
        </w:tc>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$39,660 (9.92%)</w:t>
            </w:r>
          </w:p>
        </w:tc>
        <w:tc>
          <w:tcPr>
            <w:tcW w:type="dxa" w:w="27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Alloy Advisors (2026)</w:t>
            </w:r>
          </w:p>
        </w:tc>
      </w:tr>
      <w:tr>
        <w:tc>
          <w:tcPr>
            <w:tcW w:type="dxa" w:w="3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Agent Commissions as % of Seller Friction</w:t>
            </w:r>
          </w:p>
        </w:tc>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76%</w:t>
            </w:r>
          </w:p>
        </w:tc>
        <w:tc>
          <w:tcPr>
            <w:tcW w:type="dxa" w:w="27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Alloy Advisors (2026)</w:t>
            </w:r>
          </w:p>
        </w:tc>
      </w:tr>
      <w:tr>
        <w:tc>
          <w:tcPr>
            <w:tcW w:type="dxa" w:w="3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Estimated Overpriced Transaction Costs</w:t>
            </w:r>
          </w:p>
        </w:tc>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$17,000–$22,000</w:t>
            </w:r>
          </w:p>
        </w:tc>
        <w:tc>
          <w:tcPr>
            <w:tcW w:type="dxa" w:w="27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Alloy Advisors (2026)</w:t>
            </w:r>
          </w:p>
        </w:tc>
      </w:tr>
      <w:tr>
        <w:tc>
          <w:tcPr>
            <w:tcW w:type="dxa" w:w="3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Agent Tasks Where AI Clearly Outperforms</w:t>
            </w:r>
          </w:p>
        </w:tc>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10 of 23</w:t>
            </w:r>
          </w:p>
        </w:tc>
        <w:tc>
          <w:tcPr>
            <w:tcW w:type="dxa" w:w="27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Alloy Advisors (2026)</w:t>
            </w:r>
          </w:p>
        </w:tc>
      </w:tr>
      <w:tr>
        <w:tc>
          <w:tcPr>
            <w:tcW w:type="dxa" w:w="3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Consumers Trusting AI to Act on Their Behalf</w:t>
            </w:r>
          </w:p>
        </w:tc>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14%</w:t>
            </w:r>
          </w:p>
        </w:tc>
        <w:tc>
          <w:tcPr>
            <w:tcW w:type="dxa" w:w="27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YouGov (Dec 2025)</w:t>
            </w:r>
          </w:p>
        </w:tc>
      </w:tr>
      <w:tr>
        <w:tc>
          <w:tcPr>
            <w:tcW w:type="dxa" w:w="3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Forecast: Commission Standard Breaks</w:t>
            </w:r>
          </w:p>
        </w:tc>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Within 5–7 years</w:t>
            </w:r>
          </w:p>
        </w:tc>
        <w:tc>
          <w:tcPr>
            <w:tcW w:type="dxa" w:w="27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Alloy Advisors (2026)</w:t>
            </w:r>
          </w:p>
        </w:tc>
      </w:tr>
    </w:tbl>
    <w:p>
      <w:pPr>
        <w:spacing w:after="0" w:before="60"/>
      </w:pPr>
      <w:r>
        <w:t xml:space="preserve"/>
      </w:r>
    </w:p>
    <w:p>
      <w:pPr>
        <w:spacing w:after="60" w:before="60"/>
        <w:jc w:val="both"/>
      </w:pPr>
      <w:r>
        <w:rPr>
          <w:rFonts w:ascii="Arial" w:cs="Arial" w:eastAsia="Arial" w:hAnsi="Arial"/>
          <w:color w:val="263238"/>
          <w:sz w:val="20"/>
          <w:szCs w:val="20"/>
        </w:rPr>
        <w:t xml:space="preserve">The National Association of Realtors' $418 million settlement, whose practice changes took effect in August 2024, was expected to compress commissions. It largely did not — the national average commission actually rose to 5.44% in mid-2025. Three structural factors explain this stickiness: seller-paid buyer commissions never truly disappeared in practice; 13 states plus Washington, D.C. effectively ban a la carte brokerage services; and the all-or-nothing contingent-fee structure discourages itemized pricing that consumers can comparison-shop.</w:t>
      </w:r>
    </w:p>
    <w:p>
      <w:pPr>
        <w:spacing w:after="0" w:before="40"/>
      </w:pPr>
      <w:r>
        <w:t xml:space="preserve"/>
      </w:r>
    </w:p>
    <w:p>
      <w:pPr>
        <w:spacing w:after="60" w:before="60"/>
        <w:jc w:val="both"/>
      </w:pPr>
      <w:r>
        <w:rPr>
          <w:rFonts w:ascii="Arial" w:cs="Arial" w:eastAsia="Arial" w:hAnsi="Arial"/>
          <w:color w:val="263238"/>
          <w:sz w:val="20"/>
          <w:szCs w:val="20"/>
        </w:rPr>
        <w:t xml:space="preserve">The Alloy Advisors conclusion is that regulation alone was never going to move the number — but AI-informed consumers represent a fundamentally different kind of pressure. When a seller can ask an AI to evaluate every line item, model alternatives, and benchmark a quoted commission in real time, the negotiation stops being lopsided.</w:t>
      </w:r>
    </w:p>
    <w:p>
      <w:pPr>
        <w:pStyle w:val="Heading1"/>
        <w:spacing w:after="120" w:before="320"/>
      </w:pPr>
      <w:r>
        <w:rPr>
          <w:rFonts w:ascii="Arial" w:cs="Arial" w:eastAsia="Arial" w:hAnsi="Arial"/>
          <w:b/>
          <w:bCs/>
          <w:color w:val="0A2647"/>
          <w:sz w:val="32"/>
          <w:szCs w:val="32"/>
        </w:rPr>
        <w:t xml:space="preserve">5. CR Equity AI: The Fintech Intelligence Layer</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CR Equity AI represents the most direct embodiment of the fintech disruption thesis in commercial real estate. The company has built what it describes as the next-generation intelligence layer for commercial real estate — combining AI-driven valuation, automated underwriting, and secure digital workflows to replace the manual, relationship-dependent processes that have historically defined CRE lending and brokerage.</w:t>
      </w:r>
    </w:p>
    <w:p>
      <w:pPr>
        <w:spacing w:after="0" w:before="60"/>
      </w:pPr>
      <w:r>
        <w:t xml:space="preserve"/>
      </w:r>
    </w:p>
    <w:p>
      <w:pPr>
        <w:pStyle w:val="Heading3"/>
        <w:spacing w:after="60" w:before="180"/>
      </w:pPr>
      <w:r>
        <w:rPr>
          <w:rFonts w:ascii="Arial" w:cs="Arial" w:eastAsia="Arial" w:hAnsi="Arial"/>
          <w:b/>
          <w:bCs/>
          <w:color w:val="0A2647"/>
          <w:sz w:val="22"/>
          <w:szCs w:val="22"/>
        </w:rPr>
        <w:t xml:space="preserve">The AIVAA Valuation System</w:t>
      </w:r>
    </w:p>
    <w:p>
      <w:pPr>
        <w:spacing w:after="60" w:before="60"/>
        <w:jc w:val="both"/>
      </w:pPr>
      <w:r>
        <w:rPr>
          <w:rFonts w:ascii="Arial" w:cs="Arial" w:eastAsia="Arial" w:hAnsi="Arial"/>
          <w:color w:val="263238"/>
          <w:sz w:val="20"/>
          <w:szCs w:val="20"/>
        </w:rPr>
        <w:t xml:space="preserve">CR Equity AI's proprietary AIVAA (AI-driven Valuation and Assessment Architecture) engine is the platform's most disruptive feature. Traditional commercial real estate appraisals by a Member of the Appraisal Institute (MAI) cost approximately $4,346 and require two to four weeks to complete. AIVAA produces MAI-grade valuations in under two hours, integrating real-time MLS data, HUD/FHA data, standardized valuation methodology, and deep learning models that detect risk patterns and optimize deal structure.</w:t>
      </w:r>
    </w:p>
    <w:p>
      <w:pPr>
        <w:spacing w:after="0" w:before="40"/>
      </w:pPr>
      <w:r>
        <w:t xml:space="preserve"/>
      </w:r>
    </w:p>
    <w:p>
      <w:pPr>
        <w:spacing w:after="60" w:before="60"/>
        <w:jc w:val="both"/>
      </w:pPr>
      <w:r>
        <w:rPr>
          <w:rFonts w:ascii="Arial" w:cs="Arial" w:eastAsia="Arial" w:hAnsi="Arial"/>
          <w:color w:val="263238"/>
          <w:sz w:val="20"/>
          <w:szCs w:val="20"/>
        </w:rPr>
        <w:t xml:space="preserve">This is not a marginal improvement — it is a structural displacement of an entire professional service. For commercial real estate investors who previously had to wait weeks for a valuation before proceeding with a loan application, this compression translates directly into preserved rental income, reduced interest exposure, and faster capital deployment.</w:t>
      </w:r>
    </w:p>
    <w:p>
      <w:pPr>
        <w:spacing w:after="0" w:before="60"/>
      </w:pPr>
      <w:r>
        <w:t xml:space="preserve"/>
      </w:r>
    </w:p>
    <w:p>
      <w:pPr>
        <w:pStyle w:val="Heading3"/>
        <w:spacing w:after="60" w:before="180"/>
      </w:pPr>
      <w:r>
        <w:rPr>
          <w:rFonts w:ascii="Arial" w:cs="Arial" w:eastAsia="Arial" w:hAnsi="Arial"/>
          <w:b/>
          <w:bCs/>
          <w:color w:val="0A2647"/>
          <w:sz w:val="22"/>
          <w:szCs w:val="22"/>
        </w:rPr>
        <w:t xml:space="preserve">Automated Underwriting and Loan Programs</w:t>
      </w:r>
    </w:p>
    <w:p>
      <w:pPr>
        <w:spacing w:after="60" w:before="60"/>
        <w:jc w:val="both"/>
      </w:pPr>
      <w:r>
        <w:rPr>
          <w:rFonts w:ascii="Arial" w:cs="Arial" w:eastAsia="Arial" w:hAnsi="Arial"/>
          <w:color w:val="263238"/>
          <w:sz w:val="20"/>
          <w:szCs w:val="20"/>
        </w:rPr>
        <w:t xml:space="preserve">CR Equity AI's automated underwriting workflow delivers initial loan approvals in as little as four hours — compared to the 30 to 90 day industry standard for traditional commercial lenders. Loan programs include:</w:t>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3500"/>
        <w:gridCol w:w="3360"/>
      </w:tblGrid>
      <w:tr>
        <w:trPr>
          <w:tblHeader/>
        </w:trPr>
        <w:tc>
          <w:tcPr>
            <w:tcW w:type="dxa" w:w="25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Program</w:t>
            </w:r>
          </w:p>
        </w:tc>
        <w:tc>
          <w:tcPr>
            <w:tcW w:type="dxa" w:w="35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Description</w:t>
            </w:r>
          </w:p>
        </w:tc>
        <w:tc>
          <w:tcPr>
            <w:tcW w:type="dxa" w:w="336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Key Features</w:t>
            </w:r>
          </w:p>
        </w:tc>
      </w:tr>
      <w:tr>
        <w:tc>
          <w:tcPr>
            <w:tcW w:type="dxa" w:w="25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Flex 50™</w:t>
            </w:r>
          </w:p>
        </w:tc>
        <w:tc>
          <w:tcPr>
            <w:tcW w:type="dxa" w:w="35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Bridge loan program</w:t>
            </w:r>
          </w:p>
        </w:tc>
        <w:tc>
          <w:tcPr>
            <w:tcW w:type="dxa" w:w="33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Fast deployment, flexible terms</w:t>
            </w:r>
          </w:p>
        </w:tc>
      </w:tr>
      <w:tr>
        <w:tc>
          <w:tcPr>
            <w:tcW w:type="dxa" w:w="25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BTFU™</w:t>
            </w:r>
          </w:p>
        </w:tc>
        <w:tc>
          <w:tcPr>
            <w:tcW w:type="dxa" w:w="35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Bridge-to-fixed-rate</w:t>
            </w:r>
          </w:p>
        </w:tc>
        <w:tc>
          <w:tcPr>
            <w:tcW w:type="dxa" w:w="33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Transition financing</w:t>
            </w:r>
          </w:p>
        </w:tc>
      </w:tr>
      <w:tr>
        <w:tc>
          <w:tcPr>
            <w:tcW w:type="dxa" w:w="25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Non-QM</w:t>
            </w:r>
          </w:p>
        </w:tc>
        <w:tc>
          <w:tcPr>
            <w:tcW w:type="dxa" w:w="35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Non-qualified mortgage</w:t>
            </w:r>
          </w:p>
        </w:tc>
        <w:tc>
          <w:tcPr>
            <w:tcW w:type="dxa" w:w="33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Alternative documentation</w:t>
            </w:r>
          </w:p>
        </w:tc>
      </w:tr>
      <w:tr>
        <w:tc>
          <w:tcPr>
            <w:tcW w:type="dxa" w:w="25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Crypto-Backed</w:t>
            </w:r>
          </w:p>
        </w:tc>
        <w:tc>
          <w:tcPr>
            <w:tcW w:type="dxa" w:w="35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Digital asset collateral</w:t>
            </w:r>
          </w:p>
        </w:tc>
        <w:tc>
          <w:tcPr>
            <w:tcW w:type="dxa" w:w="33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Blockchain-enabled</w:t>
            </w:r>
          </w:p>
        </w:tc>
      </w:tr>
      <w:tr>
        <w:tc>
          <w:tcPr>
            <w:tcW w:type="dxa" w:w="25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Business Funding</w:t>
            </w:r>
          </w:p>
        </w:tc>
        <w:tc>
          <w:tcPr>
            <w:tcW w:type="dxa" w:w="35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Working capital</w:t>
            </w:r>
          </w:p>
        </w:tc>
        <w:tc>
          <w:tcPr>
            <w:tcW w:type="dxa" w:w="33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Up to $10M, 4-hour approval</w:t>
            </w:r>
          </w:p>
        </w:tc>
      </w:tr>
      <w:tr>
        <w:tc>
          <w:tcPr>
            <w:tcW w:type="dxa" w:w="25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Lines of Credit</w:t>
            </w:r>
          </w:p>
        </w:tc>
        <w:tc>
          <w:tcPr>
            <w:tcW w:type="dxa" w:w="35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Revolving facility</w:t>
            </w:r>
          </w:p>
        </w:tc>
        <w:tc>
          <w:tcPr>
            <w:tcW w:type="dxa" w:w="33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AI-managed draws</w:t>
            </w:r>
          </w:p>
        </w:tc>
      </w:tr>
    </w:tbl>
    <w:p>
      <w:pPr>
        <w:spacing w:after="0" w:before="60"/>
      </w:pPr>
      <w:r>
        <w:t xml:space="preserve"/>
      </w:r>
    </w:p>
    <w:p>
      <w:pPr>
        <w:pStyle w:val="Heading3"/>
        <w:spacing w:after="60" w:before="180"/>
      </w:pPr>
      <w:r>
        <w:rPr>
          <w:rFonts w:ascii="Arial" w:cs="Arial" w:eastAsia="Arial" w:hAnsi="Arial"/>
          <w:b/>
          <w:bCs/>
          <w:color w:val="0A2647"/>
          <w:sz w:val="22"/>
          <w:szCs w:val="22"/>
        </w:rPr>
        <w:t xml:space="preserve">Tokenization and the Digital Capital Stack</w:t>
      </w:r>
    </w:p>
    <w:p>
      <w:pPr>
        <w:spacing w:after="60" w:before="60"/>
        <w:jc w:val="both"/>
      </w:pPr>
      <w:r>
        <w:rPr>
          <w:rFonts w:ascii="Arial" w:cs="Arial" w:eastAsia="Arial" w:hAnsi="Arial"/>
          <w:color w:val="263238"/>
          <w:sz w:val="20"/>
          <w:szCs w:val="20"/>
        </w:rPr>
        <w:t xml:space="preserve">CR Equity AI's most forward-looking capability is its integration of blockchain tokenization into the commercial real estate capital stack. The platform supports tokenized assets, fractional ownership, and digital liquidity. This aligns with Deloitte's forecast that $4 trillion of real estate will be tokenized by 2035, growing at a 27% CAGR from less than $300 billion in 2024.</w:t>
      </w:r>
    </w:p>
    <w:p>
      <w:pPr>
        <w:spacing w:after="0" w:before="40"/>
      </w:pPr>
      <w:r>
        <w:t xml:space="preserve"/>
      </w:r>
    </w:p>
    <w:p>
      <w:pPr>
        <w:pStyle w:val="Heading3"/>
        <w:spacing w:after="60" w:before="180"/>
      </w:pPr>
      <w:r>
        <w:rPr>
          <w:rFonts w:ascii="Arial" w:cs="Arial" w:eastAsia="Arial" w:hAnsi="Arial"/>
          <w:b/>
          <w:bCs/>
          <w:color w:val="0A2647"/>
          <w:sz w:val="22"/>
          <w:szCs w:val="22"/>
        </w:rPr>
        <w:t xml:space="preserve">The Affiliate Model: Replacing the Broker Network</w:t>
      </w:r>
    </w:p>
    <w:p>
      <w:pPr>
        <w:spacing w:after="60" w:before="60"/>
        <w:jc w:val="both"/>
      </w:pPr>
      <w:r>
        <w:rPr>
          <w:rFonts w:ascii="Arial" w:cs="Arial" w:eastAsia="Arial" w:hAnsi="Arial"/>
          <w:color w:val="263238"/>
          <w:sz w:val="20"/>
          <w:szCs w:val="20"/>
        </w:rPr>
        <w:t xml:space="preserve">Where traditional CRE brokers earn 1% to 3% referral fees through relationship-based introductions, CR Equity AI's affiliate program offers up to 20% commission on each successfully funded deal, with secure tracking and reporting through a digital affiliate system. This democratizes the intermediary function — any professional with a qualified network can participate without the overhead, licensing requirements, or geographic constraints of a traditional brokerage.</w:t>
      </w:r>
    </w:p>
    <w:p>
      <w:pPr>
        <w:pStyle w:val="Heading1"/>
        <w:spacing w:after="120" w:before="320"/>
      </w:pPr>
      <w:r>
        <w:rPr>
          <w:rFonts w:ascii="Arial" w:cs="Arial" w:eastAsia="Arial" w:hAnsi="Arial"/>
          <w:b/>
          <w:bCs/>
          <w:color w:val="0A2647"/>
          <w:sz w:val="32"/>
          <w:szCs w:val="32"/>
        </w:rPr>
        <w:t xml:space="preserve">6. Cloud vs. Brick-and-Mortar: The Structural Shift</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The displacement of traditional brick-and-mortar brokerage by cloud-based, AI-native platforms is not a future scenario — it is a present reality, measurable in agent migration patterns, market share shifts, and the strategic decisions of the industry's largest players.</w:t>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2880"/>
        <w:gridCol w:w="2880"/>
      </w:tblGrid>
      <w:tr>
        <w:trPr>
          <w:tblHeader/>
        </w:trPr>
        <w:tc>
          <w:tcPr>
            <w:tcW w:type="dxa" w:w="36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Metric</w:t>
            </w:r>
          </w:p>
        </w:tc>
        <w:tc>
          <w:tcPr>
            <w:tcW w:type="dxa" w:w="288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Cloud Brokerage</w:t>
            </w:r>
          </w:p>
        </w:tc>
        <w:tc>
          <w:tcPr>
            <w:tcW w:type="dxa" w:w="288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Brick-and-Mortar</w:t>
            </w:r>
          </w:p>
        </w:tc>
      </w:tr>
      <w:tr>
        <w:tc>
          <w:tcPr>
            <w:tcW w:type="dxa" w:w="36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Commission Split</w:t>
            </w:r>
          </w:p>
        </w:tc>
        <w:tc>
          <w:tcPr>
            <w:tcW w:type="dxa" w:w="288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80–100%</w:t>
            </w:r>
          </w:p>
        </w:tc>
        <w:tc>
          <w:tcPr>
            <w:tcW w:type="dxa" w:w="288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50–70%</w:t>
            </w:r>
          </w:p>
        </w:tc>
      </w:tr>
      <w:tr>
        <w:tc>
          <w:tcPr>
            <w:tcW w:type="dxa" w:w="36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Office Overhead</w:t>
            </w:r>
          </w:p>
        </w:tc>
        <w:tc>
          <w:tcPr>
            <w:tcW w:type="dxa" w:w="288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None</w:t>
            </w:r>
          </w:p>
        </w:tc>
        <w:tc>
          <w:tcPr>
            <w:tcW w:type="dxa" w:w="288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Significant</w:t>
            </w:r>
          </w:p>
        </w:tc>
      </w:tr>
      <w:tr>
        <w:tc>
          <w:tcPr>
            <w:tcW w:type="dxa" w:w="36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AI Integration Speed</w:t>
            </w:r>
          </w:p>
        </w:tc>
        <w:tc>
          <w:tcPr>
            <w:tcW w:type="dxa" w:w="288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Weekly updates</w:t>
            </w:r>
          </w:p>
        </w:tc>
        <w:tc>
          <w:tcPr>
            <w:tcW w:type="dxa" w:w="288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Months per rollout</w:t>
            </w:r>
          </w:p>
        </w:tc>
      </w:tr>
      <w:tr>
        <w:tc>
          <w:tcPr>
            <w:tcW w:type="dxa" w:w="36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Geographic Flexibility</w:t>
            </w:r>
          </w:p>
        </w:tc>
        <w:tc>
          <w:tcPr>
            <w:tcW w:type="dxa" w:w="288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Multi-MLS, remote</w:t>
            </w:r>
          </w:p>
        </w:tc>
        <w:tc>
          <w:tcPr>
            <w:tcW w:type="dxa" w:w="288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Office-dependent</w:t>
            </w:r>
          </w:p>
        </w:tc>
      </w:tr>
      <w:tr>
        <w:tc>
          <w:tcPr>
            <w:tcW w:type="dxa" w:w="36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Revenue Sharing / Equity</w:t>
            </w:r>
          </w:p>
        </w:tc>
        <w:tc>
          <w:tcPr>
            <w:tcW w:type="dxa" w:w="288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Yes</w:t>
            </w:r>
          </w:p>
        </w:tc>
        <w:tc>
          <w:tcPr>
            <w:tcW w:type="dxa" w:w="288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Rare</w:t>
            </w:r>
          </w:p>
        </w:tc>
      </w:tr>
      <w:tr>
        <w:tc>
          <w:tcPr>
            <w:tcW w:type="dxa" w:w="36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Agent Migration (2025)</w:t>
            </w:r>
          </w:p>
        </w:tc>
        <w:tc>
          <w:tcPr>
            <w:tcW w:type="dxa" w:w="288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+45% YoY (Real)</w:t>
            </w:r>
          </w:p>
        </w:tc>
        <w:tc>
          <w:tcPr>
            <w:tcW w:type="dxa" w:w="288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-8% YoY (RE/MAX)</w:t>
            </w:r>
          </w:p>
        </w:tc>
      </w:tr>
    </w:tbl>
    <w:p>
      <w:pPr>
        <w:spacing w:after="0" w:before="60"/>
      </w:pPr>
      <w:r>
        <w:t xml:space="preserve"/>
      </w:r>
    </w:p>
    <w:p>
      <w:pPr>
        <w:spacing w:after="60" w:before="60"/>
        <w:jc w:val="both"/>
      </w:pPr>
      <w:r>
        <w:rPr>
          <w:rFonts w:ascii="Arial" w:cs="Arial" w:eastAsia="Arial" w:hAnsi="Arial"/>
          <w:color w:val="263238"/>
          <w:sz w:val="20"/>
          <w:szCs w:val="20"/>
        </w:rPr>
        <w:t xml:space="preserve">The market is voting with its feet. eXp Realty, the world's largest cloud-based brokerage, operates with 88,000+ agents globally. The Real Brokerage surpassed 32,000 agents in 2025, ranking fifth in North American sales volume, with agent count growing at 45% year-over-year. RE/MAX, the traditional franchise giant, saw its agent count decline 8% over the same period.</w:t>
      </w:r>
    </w:p>
    <w:p>
      <w:pPr>
        <w:spacing w:after="0" w:before="40"/>
      </w:pPr>
      <w:r>
        <w:t xml:space="preserve"/>
      </w:r>
    </w:p>
    <w:p>
      <w:pPr>
        <w:spacing w:after="60" w:before="60"/>
        <w:jc w:val="both"/>
      </w:pPr>
      <w:r>
        <w:rPr>
          <w:rFonts w:ascii="Arial" w:cs="Arial" w:eastAsia="Arial" w:hAnsi="Arial"/>
          <w:color w:val="263238"/>
          <w:sz w:val="20"/>
          <w:szCs w:val="20"/>
        </w:rPr>
        <w:t xml:space="preserve">When Rocket Companies acquired Redfin for $1.75 billion in July 2025, the combined entity controlled 14 petabytes of data across 100 million properties. That data advantage compounds over time, making it increasingly difficult for competing firms that delay AI adoption to close the operational gap.</w:t>
      </w:r>
    </w:p>
    <w:p>
      <w:pPr>
        <w:pStyle w:val="Heading1"/>
        <w:spacing w:after="120" w:before="320"/>
      </w:pPr>
      <w:r>
        <w:rPr>
          <w:rFonts w:ascii="Arial" w:cs="Arial" w:eastAsia="Arial" w:hAnsi="Arial"/>
          <w:b/>
          <w:bCs/>
          <w:color w:val="0A2647"/>
          <w:sz w:val="32"/>
          <w:szCs w:val="32"/>
        </w:rPr>
        <w:t xml:space="preserve">7. Industry Consolidation and the M&amp;A Wave</w:t>
      </w:r>
    </w:p>
    <w:p>
      <w:pPr>
        <w:pBdr>
          <w:bottom w:val="single" w:color="1E88E5" w:sz="12" w:space="1"/>
        </w:pBdr>
        <w:spacing w:after="0" w:before="0"/>
      </w:pPr>
      <w:r>
        <w:t xml:space="preserve"/>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800"/>
        <w:gridCol w:w="1600"/>
        <w:gridCol w:w="3160"/>
      </w:tblGrid>
      <w:tr>
        <w:trPr>
          <w:tblHeader/>
        </w:trPr>
        <w:tc>
          <w:tcPr>
            <w:tcW w:type="dxa" w:w="28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Transaction</w:t>
            </w:r>
          </w:p>
        </w:tc>
        <w:tc>
          <w:tcPr>
            <w:tcW w:type="dxa" w:w="18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Value</w:t>
            </w:r>
          </w:p>
        </w:tc>
        <w:tc>
          <w:tcPr>
            <w:tcW w:type="dxa" w:w="16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Date</w:t>
            </w:r>
          </w:p>
        </w:tc>
        <w:tc>
          <w:tcPr>
            <w:tcW w:type="dxa" w:w="316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Strategic Rationale</w:t>
            </w:r>
          </w:p>
        </w:tc>
      </w:tr>
      <w:tr>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Rocket Companies acquires Redfin</w:t>
            </w:r>
          </w:p>
        </w:tc>
        <w:tc>
          <w:tcPr>
            <w:tcW w:type="dxa" w:w="1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$1.75 Billion</w:t>
            </w:r>
          </w:p>
        </w:tc>
        <w:tc>
          <w:tcPr>
            <w:tcW w:type="dxa" w:w="16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July 2025</w:t>
            </w:r>
          </w:p>
        </w:tc>
        <w:tc>
          <w:tcPr>
            <w:tcW w:type="dxa" w:w="31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Vertical integration: search + brokerage + mortgage</w:t>
            </w:r>
          </w:p>
        </w:tc>
      </w:tr>
      <w:tr>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Real Brokerage acquires RE/MAX</w:t>
            </w:r>
          </w:p>
        </w:tc>
        <w:tc>
          <w:tcPr>
            <w:tcW w:type="dxa" w:w="1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$880 Million</w:t>
            </w:r>
          </w:p>
        </w:tc>
        <w:tc>
          <w:tcPr>
            <w:tcW w:type="dxa" w:w="16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April 2026</w:t>
            </w:r>
          </w:p>
        </w:tc>
        <w:tc>
          <w:tcPr>
            <w:tcW w:type="dxa" w:w="31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Cloud AI platform + global franchise network</w:t>
            </w:r>
          </w:p>
        </w:tc>
      </w:tr>
      <w:tr>
        <w:tc>
          <w:tcPr>
            <w:tcW w:type="dxa" w:w="2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Bedrock Robotics (PropTech unicorn)</w:t>
            </w:r>
          </w:p>
        </w:tc>
        <w:tc>
          <w:tcPr>
            <w:tcW w:type="dxa" w:w="18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$1.75B valuation</w:t>
            </w:r>
          </w:p>
        </w:tc>
        <w:tc>
          <w:tcPr>
            <w:tcW w:type="dxa" w:w="16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2025</w:t>
            </w:r>
          </w:p>
        </w:tc>
        <w:tc>
          <w:tcPr>
            <w:tcW w:type="dxa" w:w="31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Construction automation AI</w:t>
            </w:r>
          </w:p>
        </w:tc>
      </w:tr>
      <w:tr>
        <w:tc>
          <w:tcPr>
            <w:tcW w:type="dxa" w:w="2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Smart Bricks (PropTech unicorn)</w:t>
            </w:r>
          </w:p>
        </w:tc>
        <w:tc>
          <w:tcPr>
            <w:tcW w:type="dxa" w:w="18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Undisclosed</w:t>
            </w:r>
          </w:p>
        </w:tc>
        <w:tc>
          <w:tcPr>
            <w:tcW w:type="dxa" w:w="16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2025</w:t>
            </w:r>
          </w:p>
        </w:tc>
        <w:tc>
          <w:tcPr>
            <w:tcW w:type="dxa" w:w="31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AI-native global RE infrastructure</w:t>
            </w:r>
          </w:p>
        </w:tc>
      </w:tr>
    </w:tbl>
    <w:p>
      <w:pPr>
        <w:spacing w:after="0" w:before="60"/>
      </w:pPr>
      <w:r>
        <w:t xml:space="preserve"/>
      </w:r>
    </w:p>
    <w:p>
      <w:pPr>
        <w:spacing w:after="60" w:before="60"/>
        <w:jc w:val="both"/>
      </w:pPr>
      <w:r>
        <w:rPr>
          <w:rFonts w:ascii="Arial" w:cs="Arial" w:eastAsia="Arial" w:hAnsi="Arial"/>
          <w:color w:val="263238"/>
          <w:sz w:val="20"/>
          <w:szCs w:val="20"/>
        </w:rPr>
        <w:t xml:space="preserve">The most significant transaction of 2026 is The Real Brokerage's $880 million acquisition of RE/MAX Holdings, announced in April 2026. This deal creates Real RE/MAX Group with more than 180,000 agents across 120+ countries. Real's cloud-based, AI-native platform becomes the technology backbone for thousands of RE/MAX offices — the combined entity is expected to generate $2.3 billion in revenue and $157 million in adjusted EBITDA before synergies, with projected cost savings of $30 million by 2027.</w:t>
      </w:r>
    </w:p>
    <w:p>
      <w:pPr>
        <w:spacing w:after="0" w:before="40"/>
      </w:pPr>
      <w:r>
        <w:t xml:space="preserve"/>
      </w:r>
    </w:p>
    <w:p>
      <w:pPr>
        <w:spacing w:after="60" w:before="60"/>
        <w:jc w:val="both"/>
      </w:pPr>
      <w:r>
        <w:rPr>
          <w:rFonts w:ascii="Arial" w:cs="Arial" w:eastAsia="Arial" w:hAnsi="Arial"/>
          <w:color w:val="263238"/>
          <w:sz w:val="20"/>
          <w:szCs w:val="20"/>
        </w:rPr>
        <w:t xml:space="preserve">The PropTech investment landscape reinforces this consolidation dynamic. Three new proptech unicorns were minted since July 2025, all centered on AI-driven solutions. Venture investors are specifically funding companies whose products actively perform work through AI rather than simply assisting human users — favoring autonomous execution over AI-enhanced dashboards.</w:t>
      </w:r>
    </w:p>
    <w:p>
      <w:pPr>
        <w:pStyle w:val="Heading1"/>
        <w:spacing w:after="120" w:before="320"/>
      </w:pPr>
      <w:r>
        <w:rPr>
          <w:rFonts w:ascii="Arial" w:cs="Arial" w:eastAsia="Arial" w:hAnsi="Arial"/>
          <w:b/>
          <w:bCs/>
          <w:color w:val="0A2647"/>
          <w:sz w:val="32"/>
          <w:szCs w:val="32"/>
        </w:rPr>
        <w:t xml:space="preserve">8. The 12-Month Forecast (2026–2027)</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The 12-month horizon is characterized by acceleration of existing trends rather than revolutionary discontinuity. The structural forces are in motion; the question is how quickly they compound.</w:t>
      </w:r>
    </w:p>
    <w:p>
      <w:pPr>
        <w:spacing w:after="0" w:before="60"/>
      </w:pPr>
      <w:r>
        <w:t xml:space="preserve"/>
      </w:r>
    </w:p>
    <w:p>
      <w:pPr>
        <w:spacing w:after="40" w:before="80"/>
        <w:jc w:val="both"/>
      </w:pPr>
      <w:r>
        <w:rPr>
          <w:rFonts w:ascii="Arial" w:cs="Arial" w:eastAsia="Arial" w:hAnsi="Arial"/>
          <w:b/>
          <w:bCs/>
          <w:color w:val="0A2647"/>
          <w:sz w:val="20"/>
          <w:szCs w:val="20"/>
        </w:rPr>
        <w:t xml:space="preserve">Technology adoption reaches critical mass. </w:t>
      </w:r>
      <w:r>
        <w:rPr>
          <w:rFonts w:ascii="Arial" w:cs="Arial" w:eastAsia="Arial" w:hAnsi="Arial"/>
          <w:color w:val="263238"/>
          <w:sz w:val="20"/>
          <w:szCs w:val="20"/>
        </w:rPr>
        <w:t xml:space="preserve">Gartner's forecast that 40% of enterprise applications will embed task-specific AI agents by end of 2026 will materialize across the real estate sector. Agents who have not yet integrated AI into their workflows will face a measurable productivity disadvantage against early adopters.</w:t>
      </w:r>
    </w:p>
    <w:p>
      <w:pPr>
        <w:spacing w:after="40" w:before="80"/>
        <w:jc w:val="both"/>
      </w:pPr>
      <w:r>
        <w:rPr>
          <w:rFonts w:ascii="Arial" w:cs="Arial" w:eastAsia="Arial" w:hAnsi="Arial"/>
          <w:b/>
          <w:bCs/>
          <w:color w:val="0A2647"/>
          <w:sz w:val="20"/>
          <w:szCs w:val="20"/>
        </w:rPr>
        <w:t xml:space="preserve">Administrative and transaction coordination roles face the first wave of displacement. </w:t>
      </w:r>
      <w:r>
        <w:rPr>
          <w:rFonts w:ascii="Arial" w:cs="Arial" w:eastAsia="Arial" w:hAnsi="Arial"/>
          <w:color w:val="263238"/>
          <w:sz w:val="20"/>
          <w:szCs w:val="20"/>
        </w:rPr>
        <w:t xml:space="preserve">Data entry, administrative assistants, and leasing agents handling initial inquiries face significant displacement already occurring and accelerating through 2026. As AI handles property matching, automated scheduling, lead nurturing, and basic contract generation, the staffing models of traditional brokerages will compress.</w:t>
      </w:r>
    </w:p>
    <w:p>
      <w:pPr>
        <w:spacing w:after="40" w:before="80"/>
        <w:jc w:val="both"/>
      </w:pPr>
      <w:r>
        <w:rPr>
          <w:rFonts w:ascii="Arial" w:cs="Arial" w:eastAsia="Arial" w:hAnsi="Arial"/>
          <w:b/>
          <w:bCs/>
          <w:color w:val="0A2647"/>
          <w:sz w:val="20"/>
          <w:szCs w:val="20"/>
        </w:rPr>
        <w:t xml:space="preserve">NAR membership continues its decline. </w:t>
      </w:r>
      <w:r>
        <w:rPr>
          <w:rFonts w:ascii="Arial" w:cs="Arial" w:eastAsia="Arial" w:hAnsi="Arial"/>
          <w:color w:val="263238"/>
          <w:sz w:val="20"/>
          <w:szCs w:val="20"/>
        </w:rPr>
        <w:t xml:space="preserve">Having dipped below 1.5 million in January 2025, NAR membership is projected to decline further toward approximately 1.3 million by end of 2026. More than 70% of MLS and association leaders are budgeting for projected membership decreases.</w:t>
      </w:r>
    </w:p>
    <w:p>
      <w:pPr>
        <w:spacing w:after="40" w:before="80"/>
        <w:jc w:val="both"/>
      </w:pPr>
      <w:r>
        <w:rPr>
          <w:rFonts w:ascii="Arial" w:cs="Arial" w:eastAsia="Arial" w:hAnsi="Arial"/>
          <w:b/>
          <w:bCs/>
          <w:color w:val="0A2647"/>
          <w:sz w:val="20"/>
          <w:szCs w:val="20"/>
        </w:rPr>
        <w:t xml:space="preserve">CR Equity AI and fintech platforms expand their CRE market penetration. </w:t>
      </w:r>
      <w:r>
        <w:rPr>
          <w:rFonts w:ascii="Arial" w:cs="Arial" w:eastAsia="Arial" w:hAnsi="Arial"/>
          <w:color w:val="263238"/>
          <w:sz w:val="20"/>
          <w:szCs w:val="20"/>
        </w:rPr>
        <w:t xml:space="preserve">The 4-hour loan approval model will become a competitive benchmark that traditional lenders cannot ignore. CR Equity AI's affiliate network will expand as commercial real estate professionals recognize the platform's superior economics.</w:t>
      </w:r>
    </w:p>
    <w:p>
      <w:pPr>
        <w:spacing w:after="40" w:before="80"/>
        <w:jc w:val="both"/>
      </w:pPr>
      <w:r>
        <w:rPr>
          <w:rFonts w:ascii="Arial" w:cs="Arial" w:eastAsia="Arial" w:hAnsi="Arial"/>
          <w:b/>
          <w:bCs/>
          <w:color w:val="0A2647"/>
          <w:sz w:val="20"/>
          <w:szCs w:val="20"/>
        </w:rPr>
        <w:t xml:space="preserve">Commission pressure intensifies but does not yet break. </w:t>
      </w:r>
      <w:r>
        <w:rPr>
          <w:rFonts w:ascii="Arial" w:cs="Arial" w:eastAsia="Arial" w:hAnsi="Arial"/>
          <w:color w:val="263238"/>
          <w:sz w:val="20"/>
          <w:szCs w:val="20"/>
        </w:rPr>
        <w:t xml:space="preserve">The Alloy Advisors report's June 2026 publication will catalyze consumer awareness of the gap between what commissions cost and what AI has made them worth. Commission rates will face downward pressure, but structural factors provide short-term insulation.</w:t>
      </w:r>
    </w:p>
    <w:p>
      <w:pPr>
        <w:pStyle w:val="Heading1"/>
        <w:spacing w:after="120" w:before="320"/>
      </w:pPr>
      <w:r>
        <w:rPr>
          <w:rFonts w:ascii="Arial" w:cs="Arial" w:eastAsia="Arial" w:hAnsi="Arial"/>
          <w:b/>
          <w:bCs/>
          <w:color w:val="0A2647"/>
          <w:sz w:val="32"/>
          <w:szCs w:val="32"/>
        </w:rPr>
        <w:t xml:space="preserve">9. The 3-Year Forecast (2028–2029)</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The 3-year horizon represents the inflection point — the period during which the structural transformation of real estate brokerage becomes irreversible and the two-tier market bifurcation becomes clearly visible.</w:t>
      </w:r>
    </w:p>
    <w:p>
      <w:pPr>
        <w:spacing w:after="0" w:before="60"/>
      </w:pPr>
      <w:r>
        <w:t xml:space="preserve"/>
      </w:r>
    </w:p>
    <w:p>
      <w:pPr>
        <w:spacing w:after="40" w:before="80"/>
        <w:jc w:val="both"/>
      </w:pPr>
      <w:r>
        <w:rPr>
          <w:rFonts w:ascii="Arial" w:cs="Arial" w:eastAsia="Arial" w:hAnsi="Arial"/>
          <w:b/>
          <w:bCs/>
          <w:color w:val="0A2647"/>
          <w:sz w:val="20"/>
          <w:szCs w:val="20"/>
        </w:rPr>
        <w:t xml:space="preserve">60–80% of brokerage tasks become AI-driven. </w:t>
      </w:r>
      <w:r>
        <w:rPr>
          <w:rFonts w:ascii="Arial" w:cs="Arial" w:eastAsia="Arial" w:hAnsi="Arial"/>
          <w:color w:val="263238"/>
          <w:sz w:val="20"/>
          <w:szCs w:val="20"/>
        </w:rPr>
        <w:t xml:space="preserve">Industry experts project that 60–80% of tasks typically handled by real estate agents could be automated or AI-driven by 2028–2030. This does not mean 60–80% of agents are displaced — it means agents who remain will spend the majority of their time on AI-assisted workflows, with human effort concentrated on Tier 2 tasks.</w:t>
      </w:r>
    </w:p>
    <w:p>
      <w:pPr>
        <w:spacing w:after="40" w:before="80"/>
        <w:jc w:val="both"/>
      </w:pPr>
      <w:r>
        <w:rPr>
          <w:rFonts w:ascii="Arial" w:cs="Arial" w:eastAsia="Arial" w:hAnsi="Arial"/>
          <w:b/>
          <w:bCs/>
          <w:color w:val="0A2647"/>
          <w:sz w:val="20"/>
          <w:szCs w:val="20"/>
        </w:rPr>
        <w:t xml:space="preserve">Sub-1% fee platforms emerge and gain traction. </w:t>
      </w:r>
      <w:r>
        <w:rPr>
          <w:rFonts w:ascii="Arial" w:cs="Arial" w:eastAsia="Arial" w:hAnsi="Arial"/>
          <w:color w:val="263238"/>
          <w:sz w:val="20"/>
          <w:szCs w:val="20"/>
        </w:rPr>
        <w:t xml:space="preserve">With average broker commissions at 5–6% of home value, AI platforms offering sub-1% fees will create massive consumer savings pressure. The rental and lower-value residential segments will lead the disruption.</w:t>
      </w:r>
    </w:p>
    <w:p>
      <w:pPr>
        <w:spacing w:after="40" w:before="80"/>
        <w:jc w:val="both"/>
      </w:pPr>
      <w:r>
        <w:rPr>
          <w:rFonts w:ascii="Arial" w:cs="Arial" w:eastAsia="Arial" w:hAnsi="Arial"/>
          <w:b/>
          <w:bCs/>
          <w:color w:val="0A2647"/>
          <w:sz w:val="20"/>
          <w:szCs w:val="20"/>
        </w:rPr>
        <w:t xml:space="preserve">A two-tier market bifurcates the profession. </w:t>
      </w:r>
      <w:r>
        <w:rPr>
          <w:rFonts w:ascii="Arial" w:cs="Arial" w:eastAsia="Arial" w:hAnsi="Arial"/>
          <w:color w:val="263238"/>
          <w:sz w:val="20"/>
          <w:szCs w:val="20"/>
        </w:rPr>
        <w:t xml:space="preserve">The market will split into premium human brokers serving complex, high-value transactions and AI-driven platforms handling standard residential and routine commercial transactions.</w:t>
      </w:r>
    </w:p>
    <w:p>
      <w:pPr>
        <w:spacing w:after="40" w:before="80"/>
        <w:jc w:val="both"/>
      </w:pPr>
      <w:r>
        <w:rPr>
          <w:rFonts w:ascii="Arial" w:cs="Arial" w:eastAsia="Arial" w:hAnsi="Arial"/>
          <w:b/>
          <w:bCs/>
          <w:color w:val="0A2647"/>
          <w:sz w:val="20"/>
          <w:szCs w:val="20"/>
        </w:rPr>
        <w:t xml:space="preserve">Tokenized real estate reaches $500 billion+. </w:t>
      </w:r>
      <w:r>
        <w:rPr>
          <w:rFonts w:ascii="Arial" w:cs="Arial" w:eastAsia="Arial" w:hAnsi="Arial"/>
          <w:color w:val="263238"/>
          <w:sz w:val="20"/>
          <w:szCs w:val="20"/>
        </w:rPr>
        <w:t xml:space="preserve">CR Equity AI's crypto-backed loan programs and fractional ownership infrastructure will be part of this ecosystem, enabling a new class of real estate investors to access commercial properties without the traditional intermediary stack.</w:t>
      </w:r>
    </w:p>
    <w:p>
      <w:pPr>
        <w:spacing w:after="40" w:before="80"/>
        <w:jc w:val="both"/>
      </w:pPr>
      <w:r>
        <w:rPr>
          <w:rFonts w:ascii="Arial" w:cs="Arial" w:eastAsia="Arial" w:hAnsi="Arial"/>
          <w:b/>
          <w:bCs/>
          <w:color w:val="0A2647"/>
          <w:sz w:val="20"/>
          <w:szCs w:val="20"/>
        </w:rPr>
        <w:t xml:space="preserve">Traditional brokerage headcount declines 15–20%. </w:t>
      </w:r>
      <w:r>
        <w:rPr>
          <w:rFonts w:ascii="Arial" w:cs="Arial" w:eastAsia="Arial" w:hAnsi="Arial"/>
          <w:color w:val="263238"/>
          <w:sz w:val="20"/>
          <w:szCs w:val="20"/>
        </w:rPr>
        <w:t xml:space="preserve">Morgan Stanley's finding that 37% of tasks performed by REITs and CRE firms are automatable — representing $34 billion in efficiency gains by 2030 — will translate into measurable headcount reductions concentrated in entry-level and administrative roles.</w:t>
      </w:r>
    </w:p>
    <w:p>
      <w:pPr>
        <w:pStyle w:val="Heading1"/>
        <w:spacing w:after="120" w:before="320"/>
      </w:pPr>
      <w:r>
        <w:rPr>
          <w:rFonts w:ascii="Arial" w:cs="Arial" w:eastAsia="Arial" w:hAnsi="Arial"/>
          <w:b/>
          <w:bCs/>
          <w:color w:val="0A2647"/>
          <w:sz w:val="32"/>
          <w:szCs w:val="32"/>
        </w:rPr>
        <w:t xml:space="preserve">10. The 5-Year Forecast (2030–2031)</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The 5-year horizon represents the new equilibrium — a fundamentally restructured real estate brokerage industry that looks nothing like the model that dominated the 20th century.</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400"/>
        <w:gridCol w:w="2360"/>
      </w:tblGrid>
      <w:tr>
        <w:trPr>
          <w:tblHeader/>
        </w:trPr>
        <w:tc>
          <w:tcPr>
            <w:tcW w:type="dxa" w:w="22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Horizon</w:t>
            </w:r>
          </w:p>
        </w:tc>
        <w:tc>
          <w:tcPr>
            <w:tcW w:type="dxa" w:w="24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Key Threshold</w:t>
            </w:r>
          </w:p>
        </w:tc>
        <w:tc>
          <w:tcPr>
            <w:tcW w:type="dxa" w:w="240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Market Signal</w:t>
            </w:r>
          </w:p>
        </w:tc>
        <w:tc>
          <w:tcPr>
            <w:tcW w:type="dxa" w:w="2360"/>
            <w:tcBorders>
              <w:top w:val="single" w:color="BBDEFB" w:sz="4"/>
              <w:left w:val="single" w:color="BBDEFB" w:sz="4"/>
              <w:bottom w:val="single" w:color="BBDEFB" w:sz="4"/>
              <w:right w:val="single" w:color="BBDEFB" w:sz="4"/>
            </w:tcBorders>
            <w:shd w:fill="0A2647"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CR Equity AI Role</w:t>
            </w:r>
          </w:p>
        </w:tc>
      </w:tr>
      <w:tr>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12 Months (2026–27)</w:t>
            </w:r>
          </w:p>
        </w:tc>
        <w:tc>
          <w:tcPr>
            <w:tcW w:type="dxa" w:w="24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40% enterprise apps embed AI</w:t>
            </w:r>
          </w:p>
        </w:tc>
        <w:tc>
          <w:tcPr>
            <w:tcW w:type="dxa" w:w="24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NAR membership ~1.3M</w:t>
            </w:r>
          </w:p>
        </w:tc>
        <w:tc>
          <w:tcPr>
            <w:tcW w:type="dxa" w:w="23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4-hr approvals become benchmark</w:t>
            </w:r>
          </w:p>
        </w:tc>
      </w:tr>
      <w:tr>
        <w:tc>
          <w:tcPr>
            <w:tcW w:type="dxa" w:w="22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3 Years (2028–29)</w:t>
            </w:r>
          </w:p>
        </w:tc>
        <w:tc>
          <w:tcPr>
            <w:tcW w:type="dxa" w:w="24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60–80% tasks AI-driven</w:t>
            </w:r>
          </w:p>
        </w:tc>
        <w:tc>
          <w:tcPr>
            <w:tcW w:type="dxa" w:w="240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Sub-1% fee platforms emerge</w:t>
            </w:r>
          </w:p>
        </w:tc>
        <w:tc>
          <w:tcPr>
            <w:tcW w:type="dxa" w:w="2360"/>
            <w:tcBorders>
              <w:top w:val="single" w:color="BBDEFB" w:sz="4"/>
              <w:left w:val="single" w:color="BBDEFB" w:sz="4"/>
              <w:bottom w:val="single" w:color="BBDEFB" w:sz="4"/>
              <w:right w:val="single" w:color="BBDEFB" w:sz="4"/>
            </w:tcBorders>
            <w:shd w:fill="E3F2FD" w:val="clear"/>
            <w:tcMar>
              <w:top w:type="dxa" w:w="80"/>
              <w:left w:type="dxa" w:w="120"/>
              <w:bottom w:type="dxa" w:w="80"/>
              <w:right w:type="dxa" w:w="120"/>
            </w:tcMar>
          </w:tcPr>
          <w:p>
            <w:r>
              <w:rPr>
                <w:rFonts w:ascii="Arial" w:cs="Arial" w:eastAsia="Arial" w:hAnsi="Arial"/>
                <w:color w:val="263238"/>
                <w:sz w:val="18"/>
                <w:szCs w:val="18"/>
              </w:rPr>
              <w:t xml:space="preserve">Tokenized RE reaches $500B+</w:t>
            </w:r>
          </w:p>
        </w:tc>
      </w:tr>
      <w:tr>
        <w:tc>
          <w:tcPr>
            <w:tcW w:type="dxa" w:w="22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5 Years (2030–31)</w:t>
            </w:r>
          </w:p>
        </w:tc>
        <w:tc>
          <w:tcPr>
            <w:tcW w:type="dxa" w:w="24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Commission standard breaks</w:t>
            </w:r>
          </w:p>
        </w:tc>
        <w:tc>
          <w:tcPr>
            <w:tcW w:type="dxa" w:w="240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3–5 platforms control 60%+</w:t>
            </w:r>
          </w:p>
        </w:tc>
        <w:tc>
          <w:tcPr>
            <w:tcW w:type="dxa" w:w="2360"/>
            <w:tcBorders>
              <w:top w:val="single" w:color="BBDEFB" w:sz="4"/>
              <w:left w:val="single" w:color="BBDEFB" w:sz="4"/>
              <w:bottom w:val="single" w:color="BBDEFB" w:sz="4"/>
              <w:right w:val="single" w:color="BBDEFB" w:sz="4"/>
            </w:tcBorders>
            <w:shd w:fill="FFFFFF" w:val="clear"/>
            <w:tcMar>
              <w:top w:type="dxa" w:w="80"/>
              <w:left w:type="dxa" w:w="120"/>
              <w:bottom w:type="dxa" w:w="80"/>
              <w:right w:type="dxa" w:w="120"/>
            </w:tcMar>
          </w:tcPr>
          <w:p>
            <w:r>
              <w:rPr>
                <w:rFonts w:ascii="Arial" w:cs="Arial" w:eastAsia="Arial" w:hAnsi="Arial"/>
                <w:color w:val="263238"/>
                <w:sz w:val="18"/>
                <w:szCs w:val="18"/>
              </w:rPr>
              <w:t xml:space="preserve">$1T+ in annual CRE volume</w:t>
            </w:r>
          </w:p>
        </w:tc>
      </w:tr>
    </w:tbl>
    <w:p>
      <w:pPr>
        <w:spacing w:after="0" w:before="60"/>
      </w:pPr>
      <w:r>
        <w:t xml:space="preserve"/>
      </w:r>
    </w:p>
    <w:p>
      <w:pPr>
        <w:spacing w:after="40" w:before="80"/>
        <w:jc w:val="both"/>
      </w:pPr>
      <w:r>
        <w:rPr>
          <w:rFonts w:ascii="Arial" w:cs="Arial" w:eastAsia="Arial" w:hAnsi="Arial"/>
          <w:b/>
          <w:bCs/>
          <w:color w:val="0A2647"/>
          <w:sz w:val="20"/>
          <w:szCs w:val="20"/>
        </w:rPr>
        <w:t xml:space="preserve">The commission standard breaks. </w:t>
      </w:r>
      <w:r>
        <w:rPr>
          <w:rFonts w:ascii="Arial" w:cs="Arial" w:eastAsia="Arial" w:hAnsi="Arial"/>
          <w:color w:val="263238"/>
          <w:sz w:val="20"/>
          <w:szCs w:val="20"/>
        </w:rPr>
        <w:t xml:space="preserve">The 5.44% default assumption will no longer hold. Commission structures will be unbundled, performance-based, and transparent — reflecting the actual value delivered by human agents.</w:t>
      </w:r>
    </w:p>
    <w:p>
      <w:pPr>
        <w:spacing w:after="40" w:before="80"/>
        <w:jc w:val="both"/>
      </w:pPr>
      <w:r>
        <w:rPr>
          <w:rFonts w:ascii="Arial" w:cs="Arial" w:eastAsia="Arial" w:hAnsi="Arial"/>
          <w:b/>
          <w:bCs/>
          <w:color w:val="0A2647"/>
          <w:sz w:val="20"/>
          <w:szCs w:val="20"/>
        </w:rPr>
        <w:t xml:space="preserve">3–5 AI platforms control 60%+ of standard residential transactions. </w:t>
      </w:r>
      <w:r>
        <w:rPr>
          <w:rFonts w:ascii="Arial" w:cs="Arial" w:eastAsia="Arial" w:hAnsi="Arial"/>
          <w:color w:val="263238"/>
          <w:sz w:val="20"/>
          <w:szCs w:val="20"/>
        </w:rPr>
        <w:t xml:space="preserve">The financial services precedent is instructive: robo-advisors now manage $1.4 trillion in assets. Real estate will follow a similar consolidation pattern.</w:t>
      </w:r>
    </w:p>
    <w:p>
      <w:pPr>
        <w:spacing w:after="40" w:before="80"/>
        <w:jc w:val="both"/>
      </w:pPr>
      <w:r>
        <w:rPr>
          <w:rFonts w:ascii="Arial" w:cs="Arial" w:eastAsia="Arial" w:hAnsi="Arial"/>
          <w:b/>
          <w:bCs/>
          <w:color w:val="0A2647"/>
          <w:sz w:val="20"/>
          <w:szCs w:val="20"/>
        </w:rPr>
        <w:t xml:space="preserve">Human brokers become luxury and complexity specialists. </w:t>
      </w:r>
      <w:r>
        <w:rPr>
          <w:rFonts w:ascii="Arial" w:cs="Arial" w:eastAsia="Arial" w:hAnsi="Arial"/>
          <w:color w:val="263238"/>
          <w:sz w:val="20"/>
          <w:szCs w:val="20"/>
        </w:rPr>
        <w:t xml:space="preserve">The profession will not disappear — it will specialize. Human brokers will concentrate on luxury properties, complex commercial deals, multi-party negotiations, and distressed assets.</w:t>
      </w:r>
    </w:p>
    <w:p>
      <w:pPr>
        <w:spacing w:after="40" w:before="80"/>
        <w:jc w:val="both"/>
      </w:pPr>
      <w:r>
        <w:rPr>
          <w:rFonts w:ascii="Arial" w:cs="Arial" w:eastAsia="Arial" w:hAnsi="Arial"/>
          <w:b/>
          <w:bCs/>
          <w:color w:val="0A2647"/>
          <w:sz w:val="20"/>
          <w:szCs w:val="20"/>
        </w:rPr>
        <w:t xml:space="preserve">Fintech platforms handle $1 trillion+ in annual CRE volume. </w:t>
      </w:r>
      <w:r>
        <w:rPr>
          <w:rFonts w:ascii="Arial" w:cs="Arial" w:eastAsia="Arial" w:hAnsi="Arial"/>
          <w:color w:val="263238"/>
          <w:sz w:val="20"/>
          <w:szCs w:val="20"/>
        </w:rPr>
        <w:t xml:space="preserve">The 30–90 day traditional lending cycle will be a historical artifact for standard commercial transactions, replaced by AI-driven processes that compress timelines to days or hours.</w:t>
      </w:r>
    </w:p>
    <w:p>
      <w:pPr>
        <w:spacing w:after="40" w:before="80"/>
        <w:jc w:val="both"/>
      </w:pPr>
      <w:r>
        <w:rPr>
          <w:rFonts w:ascii="Arial" w:cs="Arial" w:eastAsia="Arial" w:hAnsi="Arial"/>
          <w:b/>
          <w:bCs/>
          <w:color w:val="0A2647"/>
          <w:sz w:val="20"/>
          <w:szCs w:val="20"/>
        </w:rPr>
        <w:t xml:space="preserve">Tokenized real estate approaches $1 trillion. </w:t>
      </w:r>
      <w:r>
        <w:rPr>
          <w:rFonts w:ascii="Arial" w:cs="Arial" w:eastAsia="Arial" w:hAnsi="Arial"/>
          <w:color w:val="263238"/>
          <w:sz w:val="20"/>
          <w:szCs w:val="20"/>
        </w:rPr>
        <w:t xml:space="preserve">This will create a new class of liquid, programmable real estate assets that trade on digital exchanges without the traditional broker intermediary.</w:t>
      </w:r>
    </w:p>
    <w:p>
      <w:pPr>
        <w:pStyle w:val="Heading1"/>
        <w:spacing w:after="120" w:before="320"/>
      </w:pPr>
      <w:r>
        <w:rPr>
          <w:rFonts w:ascii="Arial" w:cs="Arial" w:eastAsia="Arial" w:hAnsi="Arial"/>
          <w:b/>
          <w:bCs/>
          <w:color w:val="0A2647"/>
          <w:sz w:val="32"/>
          <w:szCs w:val="32"/>
        </w:rPr>
        <w:t xml:space="preserve">11. Regulatory Landscape and Compliance Considerations</w:t>
      </w:r>
    </w:p>
    <w:p>
      <w:pPr>
        <w:pBdr>
          <w:bottom w:val="single" w:color="1E88E5" w:sz="12" w:space="1"/>
        </w:pBdr>
        <w:spacing w:after="0" w:before="0"/>
      </w:pPr>
      <w:r>
        <w:t xml:space="preserve"/>
      </w:r>
    </w:p>
    <w:p>
      <w:pPr>
        <w:spacing w:after="0" w:before="60"/>
      </w:pPr>
      <w:r>
        <w:t xml:space="preserve"/>
      </w:r>
    </w:p>
    <w:p>
      <w:pPr>
        <w:spacing w:after="60" w:before="60"/>
        <w:jc w:val="both"/>
      </w:pPr>
      <w:r>
        <w:rPr>
          <w:rFonts w:ascii="Arial" w:cs="Arial" w:eastAsia="Arial" w:hAnsi="Arial"/>
          <w:color w:val="263238"/>
          <w:sz w:val="20"/>
          <w:szCs w:val="20"/>
        </w:rPr>
        <w:t xml:space="preserve">The regulatory environment for AI in real estate is evolving rapidly, creating both constraints on disruption and opportunities for platforms that can navigate compliance requirements effectively. All 50 states introduced AI legislation in the 2025 legislative session. The California Department of Real Estate issued an AI advisory for real estate licensees in March 2026, establishing disclosure requirements and liability frameworks for AI-assisted transactions.</w:t>
      </w:r>
    </w:p>
    <w:p>
      <w:pPr>
        <w:spacing w:after="0" w:before="40"/>
      </w:pPr>
      <w:r>
        <w:t xml:space="preserve"/>
      </w:r>
    </w:p>
    <w:p>
      <w:pPr>
        <w:spacing w:after="60" w:before="60"/>
        <w:jc w:val="both"/>
      </w:pPr>
      <w:r>
        <w:rPr>
          <w:rFonts w:ascii="Arial" w:cs="Arial" w:eastAsia="Arial" w:hAnsi="Arial"/>
          <w:color w:val="263238"/>
          <w:sz w:val="20"/>
          <w:szCs w:val="20"/>
        </w:rPr>
        <w:t xml:space="preserve">For platforms like CR Equity AI, regulatory compliance is a core competitive advantage rather than a constraint. The platform's audit-ready from day one architecture, immutable client portals, and compliance-first design are explicitly positioned as differentiators against traditional lenders who struggle with AI adoption due to regulatory restrictions. CBRE acknowledged that many bank lenders are prevented from using AI tools by regulation — they cannot even use GPT to summarize a document — creating an opening for fintech platforms that have built compliance into their architecture from the ground up.</w:t>
      </w:r>
    </w:p>
    <w:p>
      <w:pPr>
        <w:spacing w:after="0" w:before="40"/>
      </w:pPr>
      <w:r>
        <w:t xml:space="preserve"/>
      </w:r>
    </w:p>
    <w:p>
      <w:pPr>
        <w:spacing w:after="60" w:before="60"/>
        <w:jc w:val="both"/>
      </w:pPr>
      <w:r>
        <w:rPr>
          <w:rFonts w:ascii="Arial" w:cs="Arial" w:eastAsia="Arial" w:hAnsi="Arial"/>
          <w:color w:val="263238"/>
          <w:sz w:val="20"/>
          <w:szCs w:val="20"/>
        </w:rPr>
        <w:t xml:space="preserve">Fair Housing compliance represents the most acute near-term liability for AI-enabled real estate platforms. AI systems trained on historical data can perpetuate discriminatory patterns in property recommendations, pricing, and lending decisions. The RASM identified Fair Housing violations as the number one AI risk for real estate agents in its March 2026 analysis.</w:t>
      </w:r>
    </w:p>
    <w:p>
      <w:pPr>
        <w:pStyle w:val="Heading1"/>
        <w:spacing w:after="120" w:before="320"/>
      </w:pPr>
      <w:r>
        <w:rPr>
          <w:rFonts w:ascii="Arial" w:cs="Arial" w:eastAsia="Arial" w:hAnsi="Arial"/>
          <w:b/>
          <w:bCs/>
          <w:color w:val="0A2647"/>
          <w:sz w:val="32"/>
          <w:szCs w:val="32"/>
        </w:rPr>
        <w:t xml:space="preserve">12. Risk Analysis: What Could Slow the Disruption</w:t>
      </w:r>
    </w:p>
    <w:p>
      <w:pPr>
        <w:pBdr>
          <w:bottom w:val="single" w:color="1E88E5" w:sz="12" w:space="1"/>
        </w:pBdr>
        <w:spacing w:after="0" w:before="0"/>
      </w:pPr>
      <w:r>
        <w:t xml:space="preserve"/>
      </w:r>
    </w:p>
    <w:p>
      <w:pPr>
        <w:spacing w:after="0" w:before="60"/>
      </w:pPr>
      <w:r>
        <w:t xml:space="preserve"/>
      </w:r>
    </w:p>
    <w:p>
      <w:pPr>
        <w:spacing w:after="40" w:before="80"/>
        <w:jc w:val="both"/>
      </w:pPr>
      <w:r>
        <w:rPr>
          <w:rFonts w:ascii="Arial" w:cs="Arial" w:eastAsia="Arial" w:hAnsi="Arial"/>
          <w:b/>
          <w:bCs/>
          <w:color w:val="0A2647"/>
          <w:sz w:val="20"/>
          <w:szCs w:val="20"/>
        </w:rPr>
        <w:t xml:space="preserve">Data quality remains the Achilles heel of agentic AI. </w:t>
      </w:r>
      <w:r>
        <w:rPr>
          <w:rFonts w:ascii="Arial" w:cs="Arial" w:eastAsia="Arial" w:hAnsi="Arial"/>
          <w:color w:val="263238"/>
          <w:sz w:val="20"/>
          <w:szCs w:val="20"/>
        </w:rPr>
        <w:t xml:space="preserve">McKinsey's research identifies the factual layer — clean property, unit, lease, and vendor metadata — as the prerequisite for agentic AI to deliver on its productivity potential. When the underlying data is wrong, an AI agent does not make a small error — it makes the wrong call with full confidence, at speed.</w:t>
      </w:r>
    </w:p>
    <w:p>
      <w:pPr>
        <w:spacing w:after="40" w:before="80"/>
        <w:jc w:val="both"/>
      </w:pPr>
      <w:r>
        <w:rPr>
          <w:rFonts w:ascii="Arial" w:cs="Arial" w:eastAsia="Arial" w:hAnsi="Arial"/>
          <w:b/>
          <w:bCs/>
          <w:color w:val="0A2647"/>
          <w:sz w:val="20"/>
          <w:szCs w:val="20"/>
        </w:rPr>
        <w:t xml:space="preserve">Trust has not kept pace with capability. </w:t>
      </w:r>
      <w:r>
        <w:rPr>
          <w:rFonts w:ascii="Arial" w:cs="Arial" w:eastAsia="Arial" w:hAnsi="Arial"/>
          <w:color w:val="263238"/>
          <w:sz w:val="20"/>
          <w:szCs w:val="20"/>
        </w:rPr>
        <w:t xml:space="preserve">The finding that only 14% of Americans trust AI to act on their behalf — a figure that has barely moved in two years despite dramatic capability advances — represents a genuine constraint on adoption speed. The winners will not be pure-AI platforms betting on consumer trust they do not yet have, but platforms that use AI to make human judgment better and more transparent.</w:t>
      </w:r>
    </w:p>
    <w:p>
      <w:pPr>
        <w:spacing w:after="40" w:before="80"/>
        <w:jc w:val="both"/>
      </w:pPr>
      <w:r>
        <w:rPr>
          <w:rFonts w:ascii="Arial" w:cs="Arial" w:eastAsia="Arial" w:hAnsi="Arial"/>
          <w:b/>
          <w:bCs/>
          <w:color w:val="0A2647"/>
          <w:sz w:val="20"/>
          <w:szCs w:val="20"/>
        </w:rPr>
        <w:t xml:space="preserve">Governance failures could trigger regulatory backlash. </w:t>
      </w:r>
      <w:r>
        <w:rPr>
          <w:rFonts w:ascii="Arial" w:cs="Arial" w:eastAsia="Arial" w:hAnsi="Arial"/>
          <w:color w:val="263238"/>
          <w:sz w:val="20"/>
          <w:szCs w:val="20"/>
        </w:rPr>
        <w:t xml:space="preserve">Gartner warns that more than 40% of agentic AI projects could fail by 2027 without proper governance. When AI systems approve vendor invoices, adjust renewal pricing, or dispatch contractors, errors could trigger regulatory responses that slow adoption across the industry.</w:t>
      </w:r>
    </w:p>
    <w:p>
      <w:pPr>
        <w:spacing w:after="40" w:before="80"/>
        <w:jc w:val="both"/>
      </w:pPr>
      <w:r>
        <w:rPr>
          <w:rFonts w:ascii="Arial" w:cs="Arial" w:eastAsia="Arial" w:hAnsi="Arial"/>
          <w:b/>
          <w:bCs/>
          <w:color w:val="0A2647"/>
          <w:sz w:val="20"/>
          <w:szCs w:val="20"/>
        </w:rPr>
        <w:t xml:space="preserve">Relationship networks retain durable value in commercial real estate. </w:t>
      </w:r>
      <w:r>
        <w:rPr>
          <w:rFonts w:ascii="Arial" w:cs="Arial" w:eastAsia="Arial" w:hAnsi="Arial"/>
          <w:color w:val="263238"/>
          <w:sz w:val="20"/>
          <w:szCs w:val="20"/>
        </w:rPr>
        <w:t xml:space="preserve">CRE lending and brokerage is a relationship business. The personal relationships between borrowers and lenders, between brokers and their institutional clients, carry enormous weight in complex transactions — and this relationship moat will protect experienced CRE professionals for longer than the disruption thesis might suggest.</w:t>
      </w:r>
    </w:p>
    <w:p>
      <w:pPr>
        <w:spacing w:after="40" w:before="80"/>
        <w:jc w:val="both"/>
      </w:pPr>
      <w:r>
        <w:rPr>
          <w:rFonts w:ascii="Arial" w:cs="Arial" w:eastAsia="Arial" w:hAnsi="Arial"/>
          <w:b/>
          <w:bCs/>
          <w:color w:val="0A2647"/>
          <w:sz w:val="20"/>
          <w:szCs w:val="20"/>
        </w:rPr>
        <w:t xml:space="preserve">The Zillow iBuying lesson remains instructive. </w:t>
      </w:r>
      <w:r>
        <w:rPr>
          <w:rFonts w:ascii="Arial" w:cs="Arial" w:eastAsia="Arial" w:hAnsi="Arial"/>
          <w:color w:val="263238"/>
          <w:sz w:val="20"/>
          <w:szCs w:val="20"/>
        </w:rPr>
        <w:t xml:space="preserve">Zillow's ambitious iBuying program, which relied heavily on AI valuations, was shut down in 2021 after significant losses — demonstrating that disruption requires getting the data, governance, and human oversight architecture right before scaling.</w:t>
      </w:r>
    </w:p>
    <w:p>
      <w:pPr>
        <w:pStyle w:val="Heading1"/>
        <w:spacing w:after="120" w:before="320"/>
      </w:pPr>
      <w:r>
        <w:rPr>
          <w:rFonts w:ascii="Arial" w:cs="Arial" w:eastAsia="Arial" w:hAnsi="Arial"/>
          <w:b/>
          <w:bCs/>
          <w:color w:val="0A2647"/>
          <w:sz w:val="32"/>
          <w:szCs w:val="32"/>
        </w:rPr>
        <w:t xml:space="preserve">13. Strategic Recommendations for Real Estate Professionals</w:t>
      </w:r>
    </w:p>
    <w:p>
      <w:pPr>
        <w:pBdr>
          <w:bottom w:val="single" w:color="1E88E5" w:sz="12" w:space="1"/>
        </w:pBdr>
        <w:spacing w:after="0" w:before="0"/>
      </w:pPr>
      <w:r>
        <w:t xml:space="preserve"/>
      </w:r>
    </w:p>
    <w:p>
      <w:pPr>
        <w:spacing w:after="0" w:before="60"/>
      </w:pPr>
      <w:r>
        <w:t xml:space="preserve"/>
      </w:r>
    </w:p>
    <w:p>
      <w:pPr>
        <w:pStyle w:val="Heading3"/>
        <w:spacing w:after="60" w:before="180"/>
      </w:pPr>
      <w:r>
        <w:rPr>
          <w:rFonts w:ascii="Arial" w:cs="Arial" w:eastAsia="Arial" w:hAnsi="Arial"/>
          <w:b/>
          <w:bCs/>
          <w:color w:val="0A2647"/>
          <w:sz w:val="22"/>
          <w:szCs w:val="22"/>
        </w:rPr>
        <w:t xml:space="preserve">For Individual Agents and Brokers</w:t>
      </w:r>
    </w:p>
    <w:p>
      <w:pPr>
        <w:spacing w:after="60" w:before="60"/>
        <w:jc w:val="both"/>
      </w:pPr>
      <w:r>
        <w:rPr>
          <w:rFonts w:ascii="Arial" w:cs="Arial" w:eastAsia="Arial" w:hAnsi="Arial"/>
          <w:color w:val="263238"/>
          <w:sz w:val="20"/>
          <w:szCs w:val="20"/>
        </w:rPr>
        <w:t xml:space="preserve">The most important strategic insight from the Alloy Advisors analysis is that AI does not replace agents — it replaces average agents. The path to professional survival and prosperity in the AI era runs through deliberate specialization in Tier 2 skills: skilled negotiation, hyperlocal expertise, and emotional intelligence in high-stakes transactions. Agents should embrace AI as a copilot for Tier 1 tasks, then spend their human effort on the relationship-intensive work where they have genuine advantage.</w:t>
      </w:r>
    </w:p>
    <w:p>
      <w:pPr>
        <w:spacing w:after="0" w:before="20"/>
      </w:pPr>
      <w:r>
        <w:t xml:space="preserve"/>
      </w:r>
    </w:p>
    <w:p>
      <w:pPr>
        <w:pStyle w:val="ListParagraph"/>
        <w:numPr>
          <w:ilvl w:val="0"/>
          <w:numId w:val="2"/>
        </w:numPr>
        <w:spacing w:after="40" w:before="40"/>
      </w:pPr>
      <w:r>
        <w:rPr>
          <w:rFonts w:ascii="Arial" w:cs="Arial" w:eastAsia="Arial" w:hAnsi="Arial"/>
          <w:color w:val="263238"/>
          <w:sz w:val="20"/>
          <w:szCs w:val="20"/>
        </w:rPr>
        <w:t xml:space="preserve">Use AI to handle CMAs, listing descriptions, lead nurturing, and transaction coordination at near-zero marginal cost</w:t>
      </w:r>
    </w:p>
    <w:p>
      <w:pPr>
        <w:pStyle w:val="ListParagraph"/>
        <w:numPr>
          <w:ilvl w:val="0"/>
          <w:numId w:val="2"/>
        </w:numPr>
        <w:spacing w:after="40" w:before="40"/>
      </w:pPr>
      <w:r>
        <w:rPr>
          <w:rFonts w:ascii="Arial" w:cs="Arial" w:eastAsia="Arial" w:hAnsi="Arial"/>
          <w:color w:val="263238"/>
          <w:sz w:val="20"/>
          <w:szCs w:val="20"/>
        </w:rPr>
        <w:t xml:space="preserve">Invest in Tier 2 skill development: negotiation, hyperlocal knowledge, client relationship depth</w:t>
      </w:r>
    </w:p>
    <w:p>
      <w:pPr>
        <w:pStyle w:val="ListParagraph"/>
        <w:numPr>
          <w:ilvl w:val="0"/>
          <w:numId w:val="2"/>
        </w:numPr>
        <w:spacing w:after="40" w:before="40"/>
      </w:pPr>
      <w:r>
        <w:rPr>
          <w:rFonts w:ascii="Arial" w:cs="Arial" w:eastAsia="Arial" w:hAnsi="Arial"/>
          <w:color w:val="263238"/>
          <w:sz w:val="20"/>
          <w:szCs w:val="20"/>
        </w:rPr>
        <w:t xml:space="preserve">Agents closing 0–3 deals per year face the highest displacement risk; those closing 50+ will grow market share</w:t>
      </w:r>
    </w:p>
    <w:p>
      <w:pPr>
        <w:spacing w:after="0" w:before="40"/>
      </w:pPr>
      <w:r>
        <w:t xml:space="preserve"/>
      </w:r>
    </w:p>
    <w:p>
      <w:pPr>
        <w:pStyle w:val="Heading3"/>
        <w:spacing w:after="60" w:before="180"/>
      </w:pPr>
      <w:r>
        <w:rPr>
          <w:rFonts w:ascii="Arial" w:cs="Arial" w:eastAsia="Arial" w:hAnsi="Arial"/>
          <w:b/>
          <w:bCs/>
          <w:color w:val="0A2647"/>
          <w:sz w:val="22"/>
          <w:szCs w:val="22"/>
        </w:rPr>
        <w:t xml:space="preserve">For Brokerage Operators</w:t>
      </w:r>
    </w:p>
    <w:p>
      <w:pPr>
        <w:spacing w:after="60" w:before="60"/>
        <w:jc w:val="both"/>
      </w:pPr>
      <w:r>
        <w:rPr>
          <w:rFonts w:ascii="Arial" w:cs="Arial" w:eastAsia="Arial" w:hAnsi="Arial"/>
          <w:color w:val="263238"/>
          <w:sz w:val="20"/>
          <w:szCs w:val="20"/>
        </w:rPr>
        <w:t xml:space="preserve">The structural shift from brick-and-mortar to cloud-based, AI-native models is not a future consideration — it is a present competitive reality. Brokerage operators who delay AI integration are not maintaining the status quo; they are falling behind competitors who are compounding their data and technology advantages daily.</w:t>
      </w:r>
    </w:p>
    <w:p>
      <w:pPr>
        <w:spacing w:after="0" w:before="20"/>
      </w:pPr>
      <w:r>
        <w:t xml:space="preserve"/>
      </w:r>
    </w:p>
    <w:p>
      <w:pPr>
        <w:pStyle w:val="ListParagraph"/>
        <w:numPr>
          <w:ilvl w:val="0"/>
          <w:numId w:val="2"/>
        </w:numPr>
        <w:spacing w:after="40" w:before="40"/>
      </w:pPr>
      <w:r>
        <w:rPr>
          <w:rFonts w:ascii="Arial" w:cs="Arial" w:eastAsia="Arial" w:hAnsi="Arial"/>
          <w:color w:val="263238"/>
          <w:sz w:val="20"/>
          <w:szCs w:val="20"/>
        </w:rPr>
        <w:t xml:space="preserve">Deploy AI-native platform infrastructure across agent networks</w:t>
      </w:r>
    </w:p>
    <w:p>
      <w:pPr>
        <w:pStyle w:val="ListParagraph"/>
        <w:numPr>
          <w:ilvl w:val="0"/>
          <w:numId w:val="2"/>
        </w:numPr>
        <w:spacing w:after="40" w:before="40"/>
      </w:pPr>
      <w:r>
        <w:rPr>
          <w:rFonts w:ascii="Arial" w:cs="Arial" w:eastAsia="Arial" w:hAnsi="Arial"/>
          <w:color w:val="263238"/>
          <w:sz w:val="20"/>
          <w:szCs w:val="20"/>
        </w:rPr>
        <w:t xml:space="preserve">Reduce operating costs through technology to fund higher commission splits</w:t>
      </w:r>
    </w:p>
    <w:p>
      <w:pPr>
        <w:pStyle w:val="ListParagraph"/>
        <w:numPr>
          <w:ilvl w:val="0"/>
          <w:numId w:val="2"/>
        </w:numPr>
        <w:spacing w:after="40" w:before="40"/>
      </w:pPr>
      <w:r>
        <w:rPr>
          <w:rFonts w:ascii="Arial" w:cs="Arial" w:eastAsia="Arial" w:hAnsi="Arial"/>
          <w:color w:val="263238"/>
          <w:sz w:val="20"/>
          <w:szCs w:val="20"/>
        </w:rPr>
        <w:t xml:space="preserve">Use data scale to improve AI capabilities in a virtuous cycle</w:t>
      </w:r>
    </w:p>
    <w:p>
      <w:pPr>
        <w:spacing w:after="0" w:before="40"/>
      </w:pPr>
      <w:r>
        <w:t xml:space="preserve"/>
      </w:r>
    </w:p>
    <w:p>
      <w:pPr>
        <w:pStyle w:val="Heading3"/>
        <w:spacing w:after="60" w:before="180"/>
      </w:pPr>
      <w:r>
        <w:rPr>
          <w:rFonts w:ascii="Arial" w:cs="Arial" w:eastAsia="Arial" w:hAnsi="Arial"/>
          <w:b/>
          <w:bCs/>
          <w:color w:val="0A2647"/>
          <w:sz w:val="22"/>
          <w:szCs w:val="22"/>
        </w:rPr>
        <w:t xml:space="preserve">For Commercial Real Estate Professionals</w:t>
      </w:r>
    </w:p>
    <w:p>
      <w:pPr>
        <w:spacing w:after="60" w:before="60"/>
        <w:jc w:val="both"/>
      </w:pPr>
      <w:r>
        <w:rPr>
          <w:rFonts w:ascii="Arial" w:cs="Arial" w:eastAsia="Arial" w:hAnsi="Arial"/>
          <w:color w:val="263238"/>
          <w:sz w:val="20"/>
          <w:szCs w:val="20"/>
        </w:rPr>
        <w:t xml:space="preserve">The AI disruption in commercial real estate is arriving through the lending and capital markets channel — which is precisely where platforms like CR Equity AI are operating. CRE professionals who position themselves as connectors between clients and AI-powered capital platforms can capture the economic value of deal flow without the overhead of traditional brokerage infrastructure.</w:t>
      </w:r>
    </w:p>
    <w:p>
      <w:pPr>
        <w:spacing w:after="0" w:before="20"/>
      </w:pPr>
      <w:r>
        <w:t xml:space="preserve"/>
      </w:r>
    </w:p>
    <w:p>
      <w:pPr>
        <w:pStyle w:val="ListParagraph"/>
        <w:numPr>
          <w:ilvl w:val="0"/>
          <w:numId w:val="2"/>
        </w:numPr>
        <w:spacing w:after="40" w:before="40"/>
      </w:pPr>
      <w:r>
        <w:rPr>
          <w:rFonts w:ascii="Arial" w:cs="Arial" w:eastAsia="Arial" w:hAnsi="Arial"/>
          <w:color w:val="263238"/>
          <w:sz w:val="20"/>
          <w:szCs w:val="20"/>
        </w:rPr>
        <w:t xml:space="preserve">Leverage CR Equity AI's affiliate program: up to 20% commission on funded deals</w:t>
      </w:r>
    </w:p>
    <w:p>
      <w:pPr>
        <w:pStyle w:val="ListParagraph"/>
        <w:numPr>
          <w:ilvl w:val="0"/>
          <w:numId w:val="2"/>
        </w:numPr>
        <w:spacing w:after="40" w:before="40"/>
      </w:pPr>
      <w:r>
        <w:rPr>
          <w:rFonts w:ascii="Arial" w:cs="Arial" w:eastAsia="Arial" w:hAnsi="Arial"/>
          <w:color w:val="263238"/>
          <w:sz w:val="20"/>
          <w:szCs w:val="20"/>
        </w:rPr>
        <w:t xml:space="preserve">Develop expertise in digital asset structures, blockchain-based ownership, and tokenized capital markets</w:t>
      </w:r>
    </w:p>
    <w:p>
      <w:pPr>
        <w:pStyle w:val="ListParagraph"/>
        <w:numPr>
          <w:ilvl w:val="0"/>
          <w:numId w:val="2"/>
        </w:numPr>
        <w:spacing w:after="40" w:before="40"/>
      </w:pPr>
      <w:r>
        <w:rPr>
          <w:rFonts w:ascii="Arial" w:cs="Arial" w:eastAsia="Arial" w:hAnsi="Arial"/>
          <w:color w:val="263238"/>
          <w:sz w:val="20"/>
          <w:szCs w:val="20"/>
        </w:rPr>
        <w:t xml:space="preserve">Position as connectors to AI-powered lending infrastructure rather than as intermediaries in the traditional sense</w:t>
      </w:r>
    </w:p>
    <w:p>
      <w:pPr>
        <w:spacing w:after="0" w:before="40"/>
      </w:pPr>
      <w:r>
        <w:t xml:space="preserve"/>
      </w:r>
    </w:p>
    <w:p>
      <w:pPr>
        <w:pStyle w:val="Heading3"/>
        <w:spacing w:after="60" w:before="180"/>
      </w:pPr>
      <w:r>
        <w:rPr>
          <w:rFonts w:ascii="Arial" w:cs="Arial" w:eastAsia="Arial" w:hAnsi="Arial"/>
          <w:b/>
          <w:bCs/>
          <w:color w:val="0A2647"/>
          <w:sz w:val="22"/>
          <w:szCs w:val="22"/>
        </w:rPr>
        <w:t xml:space="preserve">For Fintech and PropTech Platforms</w:t>
      </w:r>
    </w:p>
    <w:p>
      <w:pPr>
        <w:spacing w:after="60" w:before="60"/>
        <w:jc w:val="both"/>
      </w:pPr>
      <w:r>
        <w:rPr>
          <w:rFonts w:ascii="Arial" w:cs="Arial" w:eastAsia="Arial" w:hAnsi="Arial"/>
          <w:color w:val="263238"/>
          <w:sz w:val="20"/>
          <w:szCs w:val="20"/>
        </w:rPr>
        <w:t xml:space="preserve">The McKinsey insight that trust is the product, humans are the differentiator is the most important strategic principle for AI-native real estate platforms. The platforms that win will not be those that eliminate human judgment entirely, but those that use AI to make human judgment faster, better-informed, and more transparent. CR Equity AI's compliance-first architecture — audit-ready from day one, built for regulators and institutional partners — represents the right strategic posture for a platform seeking to displace traditional intermediaries in a regulated industry.</w:t>
      </w:r>
    </w:p>
    <w:p>
      <w:pPr>
        <w:spacing w:after="0" w:before="120"/>
      </w:pPr>
      <w:r>
        <w:t xml:space="preserve"/>
      </w:r>
    </w:p>
    <w:p>
      <w:pPr>
        <w:pBdr>
          <w:bottom w:val="single" w:color="546E7A" w:sz="4" w:space="1"/>
        </w:pBdr>
        <w:spacing w:after="0" w:before="0"/>
      </w:pPr>
      <w:r>
        <w:t xml:space="preserve"/>
      </w:r>
    </w:p>
    <w:p>
      <w:pPr>
        <w:spacing w:after="0" w:before="60"/>
      </w:pPr>
      <w:r>
        <w:t xml:space="preserve"/>
      </w:r>
    </w:p>
    <w:p>
      <w:pPr>
        <w:spacing w:after="40" w:before="40"/>
        <w:jc w:val="center"/>
      </w:pPr>
      <w:r>
        <w:rPr>
          <w:rFonts w:ascii="Arial" w:cs="Arial" w:eastAsia="Arial" w:hAnsi="Arial"/>
          <w:b/>
          <w:bCs/>
          <w:color w:val="546E7A"/>
          <w:sz w:val="18"/>
          <w:szCs w:val="18"/>
        </w:rPr>
        <w:t xml:space="preserve">DISCLAIMER</w:t>
      </w:r>
    </w:p>
    <w:p>
      <w:pPr>
        <w:spacing w:after="40" w:before="40"/>
        <w:jc w:val="both"/>
      </w:pPr>
      <w:r>
        <w:rPr>
          <w:rFonts w:ascii="Arial" w:cs="Arial" w:eastAsia="Arial" w:hAnsi="Arial"/>
          <w:i/>
          <w:iCs/>
          <w:color w:val="546E7A"/>
          <w:sz w:val="16"/>
          <w:szCs w:val="16"/>
        </w:rPr>
        <w:t xml:space="preserve">This research report is prepared by CR Equity AI, Inc. for informational purposes only. The views, forecasts, and market analyses presented herein are based on publicly available sources as of June 2026 and are subject to change without notice. This report does not constitute investment advice, legal counsel, or a solicitation of capital. All projections are forward-looking statements and involve material risks and uncertainties. Past performance of markets, platforms, or companies referenced herein is not indicative of future results. Readers should conduct their own due diligence and consult qualified advisors before making any investment, lending, or strategic decisions. CR Equity AI, Inc. and its affiliates make no representations or warranties, express or implied, regarding the accuracy, completeness, or fitness for purpose of the information contained herein.</w:t>
      </w:r>
    </w:p>
    <w:p>
      <w:pPr>
        <w:spacing w:after="40" w:before="40"/>
        <w:jc w:val="center"/>
      </w:pPr>
      <w:r>
        <w:rPr>
          <w:rFonts w:ascii="Arial" w:cs="Arial" w:eastAsia="Arial" w:hAnsi="Arial"/>
          <w:b/>
          <w:bCs/>
          <w:color w:val="0A2647"/>
          <w:sz w:val="16"/>
          <w:szCs w:val="16"/>
        </w:rPr>
        <w:t xml:space="preserve">© 2026 CR Equity AI, Inc. All Rights Reserved. | www.crequity.ai</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88E5" w:sz="4" w:space="2"/>
      </w:pBdr>
    </w:pPr>
    <w: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000"/>
      <w:gridCol w:w="4080"/>
    </w:tblGrid>
    <w:tr>
      <w:tc>
        <w:tcPr>
          <w:tcBorders>
            <w:top w:val="none" w:color="FFFFFF" w:sz="0"/>
            <w:left w:val="none" w:color="FFFFFF" w:sz="0"/>
            <w:bottom w:val="none" w:color="FFFFFF" w:sz="0"/>
            <w:right w:val="none" w:color="FFFFFF" w:sz="0"/>
          </w:tcBorders>
          <w:shd w:fill="FFFFFF" w:val="clear"/>
        </w:tcPr>
        <w:p>
          <w:r>
            <w:rPr>
              <w:rFonts w:ascii="Arial" w:cs="Arial" w:eastAsia="Arial" w:hAnsi="Arial"/>
              <w:i/>
              <w:iCs/>
              <w:color w:val="546E7A"/>
              <w:sz w:val="16"/>
              <w:szCs w:val="16"/>
            </w:rPr>
            <w:t xml:space="preserve">The Agentic AI Revolution in Real Estate Brokerage</w:t>
          </w:r>
        </w:p>
      </w:tc>
      <w:tc>
        <w:tcPr>
          <w:tcBorders>
            <w:top w:val="none" w:color="FFFFFF" w:sz="0"/>
            <w:left w:val="none" w:color="FFFFFF" w:sz="0"/>
            <w:bottom w:val="none" w:color="FFFFFF" w:sz="0"/>
            <w:right w:val="none" w:color="FFFFFF" w:sz="0"/>
          </w:tcBorders>
          <w:shd w:fill="FFFFFF" w:val="clear"/>
        </w:tcPr>
        <w:p>
          <w:pPr>
            <w:jc w:val="right"/>
          </w:pPr>
          <w:r>
            <w:rPr>
              <w:rFonts w:ascii="Arial" w:cs="Arial" w:eastAsia="Arial" w:hAnsi="Arial"/>
              <w:color w:val="546E7A"/>
              <w:sz w:val="16"/>
              <w:szCs w:val="16"/>
            </w:rPr>
            <w:t xml:space="preserve">Page </w:t>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000"/>
      <w:gridCol w:w="4080"/>
    </w:tblGrid>
    <w:tr>
      <w:tc>
        <w:tcPr>
          <w:tcBorders>
            <w:top w:val="none" w:color="FFFFFF" w:sz="0"/>
            <w:left w:val="none" w:color="FFFFFF" w:sz="0"/>
            <w:bottom w:val="none" w:color="FFFFFF" w:sz="0"/>
            <w:right w:val="none" w:color="FFFFFF" w:sz="0"/>
          </w:tcBorders>
          <w:shd w:fill="FFFFFF" w:val="clear"/>
        </w:tcPr>
        <w:p>
          <w:r>
            <w:rPr>
              <w:rFonts w:ascii="Arial" w:cs="Arial" w:eastAsia="Arial" w:hAnsi="Arial"/>
              <w:color w:val="546E7A"/>
              <w:sz w:val="16"/>
              <w:szCs w:val="16"/>
            </w:rPr>
            <w:t xml:space="preserve">CR EQUITY AI  |  Research Report  |  June 2026</w:t>
          </w:r>
        </w:p>
      </w:tc>
      <w:tc>
        <w:tcPr>
          <w:tcBorders>
            <w:top w:val="none" w:color="FFFFFF" w:sz="0"/>
            <w:left w:val="none" w:color="FFFFFF" w:sz="0"/>
            <w:bottom w:val="none" w:color="FFFFFF" w:sz="0"/>
            <w:right w:val="none" w:color="FFFFFF" w:sz="0"/>
          </w:tcBorders>
          <w:shd w:fill="FFFFFF" w:val="clear"/>
        </w:tcPr>
        <w:p>
          <w:pPr>
            <w:jc w:val="right"/>
          </w:pPr>
          <w:r>
            <w:rPr>
              <w:rFonts w:ascii="Arial" w:cs="Arial" w:eastAsia="Arial" w:hAnsi="Arial"/>
              <w:color w:val="1565C0"/>
              <w:sz w:val="16"/>
              <w:szCs w:val="16"/>
            </w:rPr>
            <w:t xml:space="preserve">www.crequity.ai  |  CONFIDENTIAL</w:t>
          </w:r>
        </w:p>
      </w:tc>
    </w:tr>
  </w:tbl>
  <w:p>
    <w:pPr>
      <w:pBdr>
        <w:bottom w:val="single" w:color="1E88E5" w:sz="6" w:space="1"/>
      </w:pBdr>
    </w:pPr>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63238"/>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20"/>
      <w:outlineLvl w:val="0"/>
    </w:pPr>
    <w:rPr>
      <w:rFonts w:ascii="Arial" w:cs="Arial" w:eastAsia="Arial" w:hAnsi="Arial"/>
      <w:b/>
      <w:bCs/>
      <w:color w:val="0A2647"/>
      <w:sz w:val="32"/>
      <w:szCs w:val="32"/>
    </w:rPr>
  </w:style>
  <w:style w:type="paragraph" w:styleId="Heading2">
    <w:name w:val="Heading 2"/>
    <w:basedOn w:val="Normal"/>
    <w:next w:val="Normal"/>
    <w:qFormat/>
    <w:pPr>
      <w:spacing w:after="80" w:before="240"/>
      <w:outlineLvl w:val="1"/>
    </w:pPr>
    <w:rPr>
      <w:rFonts w:ascii="Arial" w:cs="Arial" w:eastAsia="Arial" w:hAnsi="Arial"/>
      <w:b/>
      <w:bCs/>
      <w:color w:val="1565C0"/>
      <w:sz w:val="26"/>
      <w:szCs w:val="26"/>
    </w:rPr>
  </w:style>
  <w:style w:type="paragraph" w:styleId="Heading3">
    <w:name w:val="Heading 3"/>
    <w:basedOn w:val="Normal"/>
    <w:next w:val="Normal"/>
    <w:qFormat/>
    <w:pPr>
      <w:spacing w:after="60" w:before="180"/>
      <w:outlineLvl w:val="2"/>
    </w:pPr>
    <w:rPr>
      <w:rFonts w:ascii="Arial" w:cs="Arial" w:eastAsia="Arial" w:hAnsi="Arial"/>
      <w:b/>
      <w:bCs/>
      <w:color w:val="0A2647"/>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2026-06-16T02:25:56.650Z</dcterms:created>
  <dcterms:modified xsi:type="dcterms:W3CDTF">2026-06-16T02:25:56.650Z</dcterms:modified>
</cp:coreProperties>
</file>

<file path=docProps/custom.xml><?xml version="1.0" encoding="utf-8"?>
<Properties xmlns="http://schemas.openxmlformats.org/officeDocument/2006/custom-properties" xmlns:vt="http://schemas.openxmlformats.org/officeDocument/2006/docPropsVTypes"/>
</file>